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动态规划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思路：通过巧妙地使用递推，避免重复计算，避免不必要的非最优值计算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思路特点：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把任务按一个一个分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阶段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进行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每个阶段分别考虑若干情况（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状态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每种情况面临不同的选择（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决策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决策导致不同阶段的状态相互转化（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状态转移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每个阶段的最优决策组成了整体的最优方案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动态规划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在各阶段各状态间依据最优决策进行递推的算法，最终得到整个问题的最优解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1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2018-02-20T17:01:32Z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