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e40d5354317d1ee335b5e48291e8b7e6e66eac"/>
    <w:p>
      <w:pPr>
        <w:pStyle w:val="Heading1"/>
      </w:pPr>
      <w:r>
        <w:t xml:space="preserve">dMRI Rosetta Stone: An Open-Source Interactive Platform for Cross-Tool Diffusion MRI Education and Reproducibility</w:t>
      </w:r>
    </w:p>
    <w:p>
      <w:pPr>
        <w:pStyle w:val="FirstParagraph"/>
      </w:pPr>
      <w:r>
        <w:rPr>
          <w:b/>
          <w:bCs/>
        </w:rPr>
        <w:t xml:space="preserve">Busra Mutlu</w:t>
      </w:r>
      <w:r>
        <w:t xml:space="preserve"> </w:t>
      </w:r>
      <w:r>
        <w:t xml:space="preserve">Department of Neuroimaging, King’s College London, London, United Kingdom</w:t>
      </w:r>
    </w:p>
    <w:p>
      <w:r>
        <w:pict>
          <v:rect style="width:0;height:1.5pt" o:hralign="center" o:hrstd="t" o:hr="t"/>
        </w:pict>
      </w:r>
    </w:p>
    <w:bookmarkStart w:id="9" w:name="abstract"/>
    <w:p>
      <w:pPr>
        <w:pStyle w:val="Heading2"/>
      </w:pPr>
      <w:r>
        <w:t xml:space="preserve">Abstract</w:t>
      </w:r>
    </w:p>
    <w:p>
      <w:pPr>
        <w:pStyle w:val="FirstParagraph"/>
      </w:pPr>
      <w:r>
        <w:t xml:space="preserve">Diffusion magnetic resonance imaging (dMRI) is a powerful non-invasive technique for characterising white matter microstructure in the living human brain. However, the three dominant software ecosystems used for dMRI analysis — FSL, MRtrix3, and DIPY — employ different command-line interfaces, terminology, and algorithmic implementations, creating a significant barrier for students, early-career researchers, and laboratories seeking to reproduce or cross-validate published findings. No existing resource enables direct, executable side-by-side comparison of all three toolkits across the full preprocessing and analysis pipeline. Here we present dMRI Rosetta Stone, an open-source, browser-based interactive platform built with Streamlit and containerised with Docker, that walks users through seven canonical dMRI pipeline steps — brain extraction, denoising, eddy current and motion correction, diffusion tensor imaging (DTI) fitting, constrained spherical deconvolution (CSD), tractography, and voxelwise group analysis (TBSS) — showing the equivalent command in all three tools simultaneously, executing it on real human brain data, and displaying the outputs for direct visual comparison. The platform requires no local installation of neuroimaging software, runs on any operating system, and uses the openly available Stanford HARDI dataset so that any researcher can reproduce all results without credentials. A built-in Concepts &amp; Reference module provides a glossary, DTI metric guide, command cheat sheet, and a decision framework for choosing the appropriate tool for a given research question. dMRI Rosetta Stone addresses a genuine gap in the neuroimaging education landscape and is designed to accelerate the training of the next generation of dMRI researchers while promoting methodological transparency and cross-tool reproducibility.</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Diffusion magnetic resonance imaging (dMRI) has become one of the most widely used modalities in human neuroscience, enabling non-invasive in vivo characterisation of white matter tract architecture, microstructural integrity, and structural connectivity [CITE Basser 1994, Jones 2010]. Applications span clinical neuroscience, including mapping changes in white matter in neurodegenerative diseases, psychiatric conditions, and neurodevelopmental disorders [CITE], as well as fundamental questions about brain organisation and inter-individual variability [CITE].</w:t>
      </w:r>
    </w:p>
    <w:p>
      <w:pPr>
        <w:pStyle w:val="BodyText"/>
      </w:pPr>
      <w:r>
        <w:t xml:space="preserve">The dMRI analysis ecosystem has matured considerably over the past two decades and is now dominated by three major software packages. FSL (FMRIB Software Library), developed at the University of Oxford, provides robust tools for preprocessing, DTI fitting, and voxelwise group analysis through the Tract-Based Spatial Statistics (TBSS) pipeline [CITE Smith 2004, Smith 2006]. MRtrix3, developed at The Florey Institute, specialises in constrained spherical deconvolution (CSD) and high-fidelity fibre orientation modelling, and provides a comprehensive suite of tools from denoising through to fixel-based analysis [CITE Tournier 2019]. DIPY (Diffusion Imaging in Python), a community-driven open-source library, offers a highly flexible Python-native implementation of the full dMRI pipeline and is widely used in research contexts requiring algorithmic transparency or custom extensions [CITE Garyfallidis 2014].</w:t>
      </w:r>
    </w:p>
    <w:p>
      <w:pPr>
        <w:pStyle w:val="BodyText"/>
      </w:pPr>
      <w:r>
        <w:t xml:space="preserve">Despite their complementary strengths, these three toolkits present a significant practical barrier to students and early-career researchers. Each uses a different command-line syntax, a different file format convention, and in some cases, different terminology for the same underlying operation. For example, the operation of extracting the brain from the surrounding tissue is called</w:t>
      </w:r>
      <w:r>
        <w:t xml:space="preserve"> </w:t>
      </w:r>
      <w:r>
        <w:rPr>
          <w:rStyle w:val="VerbatimChar"/>
        </w:rPr>
        <w:t xml:space="preserve">bet</w:t>
      </w:r>
      <w:r>
        <w:t xml:space="preserve"> </w:t>
      </w:r>
      <w:r>
        <w:t xml:space="preserve">in FSL,</w:t>
      </w:r>
      <w:r>
        <w:t xml:space="preserve"> </w:t>
      </w:r>
      <w:r>
        <w:rPr>
          <w:rStyle w:val="VerbatimChar"/>
        </w:rPr>
        <w:t xml:space="preserve">dwi2mask</w:t>
      </w:r>
      <w:r>
        <w:t xml:space="preserve"> </w:t>
      </w:r>
      <w:r>
        <w:t xml:space="preserve">in MRtrix3, and</w:t>
      </w:r>
      <w:r>
        <w:t xml:space="preserve"> </w:t>
      </w:r>
      <w:r>
        <w:rPr>
          <w:rStyle w:val="VerbatimChar"/>
        </w:rPr>
        <w:t xml:space="preserve">median_otsu</w:t>
      </w:r>
      <w:r>
        <w:t xml:space="preserve"> </w:t>
      </w:r>
      <w:r>
        <w:t xml:space="preserve">in DIPY. Mean diffusivity — the trace of the diffusion tensor divided by three — is reported as</w:t>
      </w:r>
      <w:r>
        <w:t xml:space="preserve"> </w:t>
      </w:r>
      <w:r>
        <w:rPr>
          <w:rStyle w:val="VerbatimChar"/>
        </w:rPr>
        <w:t xml:space="preserve">MD</w:t>
      </w:r>
      <w:r>
        <w:t xml:space="preserve"> </w:t>
      </w:r>
      <w:r>
        <w:t xml:space="preserve">in FSL output, as</w:t>
      </w:r>
      <w:r>
        <w:t xml:space="preserve"> </w:t>
      </w:r>
      <w:r>
        <w:rPr>
          <w:rStyle w:val="VerbatimChar"/>
        </w:rPr>
        <w:t xml:space="preserve">ADC</w:t>
      </w:r>
      <w:r>
        <w:t xml:space="preserve"> </w:t>
      </w:r>
      <w:r>
        <w:t xml:space="preserve">in MRtrix3, and as</w:t>
      </w:r>
      <w:r>
        <w:t xml:space="preserve"> </w:t>
      </w:r>
      <w:r>
        <w:rPr>
          <w:rStyle w:val="VerbatimChar"/>
        </w:rPr>
        <w:t xml:space="preserve">md</w:t>
      </w:r>
      <w:r>
        <w:t xml:space="preserve"> </w:t>
      </w:r>
      <w:r>
        <w:t xml:space="preserve">in DIPY. These surface-level differences, while seemingly minor, cause genuine confusion for researchers trained in one ecosystem who attempt to read, reproduce, or extend work performed in another.</w:t>
      </w:r>
    </w:p>
    <w:p>
      <w:pPr>
        <w:pStyle w:val="BodyText"/>
      </w:pPr>
      <w:r>
        <w:t xml:space="preserve">A more serious concern is reproducibility. Published dMRI studies rarely justify their choice of software, and it is not always clear whether reported group differences in white matter metrics are biologically meaningful or reflect implementation-level differences between tools [CITE Bhagwat 2021, Richie-Halford 2022]. Several studies have demonstrated that software-specific choices — including the choice of brain masking algorithm, the denoising method, and the tensor fitting algorithm — can introduce non-trivial variability in derived metrics such as fractional anisotropy (FA) and mean diffusivity (MD) [CITE]. Making the similarities and differences between tools visible, executable, and interpretable is therefore not only an educational goal but a reproducibility imperative.</w:t>
      </w:r>
    </w:p>
    <w:p>
      <w:pPr>
        <w:pStyle w:val="BodyText"/>
      </w:pPr>
      <w:r>
        <w:t xml:space="preserve">Existing educational resources for dMRI typically cover a single toolkit in depth. FSL has a well-documented course through the FSL wiki and the annual FSL course; MRtrix3 provides extensive documentation and community forums; DIPY provides Jupyter notebook tutorials. However, no resource currently enables a researcher to run the same pipeline step in all three tools on the same data, in the same interface, and compare the outputs visually. This is the gap that dMRI Rosetta Stone addresses.</w:t>
      </w:r>
    </w:p>
    <w:p>
      <w:pPr>
        <w:pStyle w:val="BodyText"/>
      </w:pPr>
      <w:r>
        <w:t xml:space="preserve">The name is drawn from the original Rosetta Stone (196 BCE), a decree inscribed in three scripts — Ancient Egyptian hieroglyphs, Demotic, and Ancient Greek — that allowed scholars to decode a language that had been unreadable for over a millennium. The key insight of the Rosetta Stone was that the same content expressed in three parallel systems made translation possible. Here, we apply the same principle: FSL, MRtrix3, and DIPY are three parallel</w:t>
      </w:r>
      <w:r>
        <w:t xml:space="preserve"> </w:t>
      </w:r>
      <w:r>
        <w:t xml:space="preserve">“languages”</w:t>
      </w:r>
      <w:r>
        <w:t xml:space="preserve"> </w:t>
      </w:r>
      <w:r>
        <w:t xml:space="preserve">for dMRI analysis, and placing them side by side enables translation between them.</w:t>
      </w:r>
    </w:p>
    <w:p>
      <w:pPr>
        <w:pStyle w:val="BodyText"/>
      </w:pPr>
      <w:r>
        <w:t xml:space="preserve">In this paper we describe the design, implementation, and educational content of dMRI Rosetta Stone, demonstrate its use across the full dMRI pipeline, and discuss its value as a training resource and reproducibility tool for the neuroimaging community.</w:t>
      </w:r>
    </w:p>
    <w:p>
      <w:r>
        <w:pict>
          <v:rect style="width:0;height:1.5pt" o:hralign="center" o:hrstd="t" o:hr="t"/>
        </w:pict>
      </w:r>
    </w:p>
    <w:bookmarkEnd w:id="10"/>
    <w:bookmarkStart w:id="11" w:name="design-principles"/>
    <w:p>
      <w:pPr>
        <w:pStyle w:val="Heading2"/>
      </w:pPr>
      <w:r>
        <w:t xml:space="preserve">Design Principles</w:t>
      </w:r>
    </w:p>
    <w:p>
      <w:pPr>
        <w:pStyle w:val="FirstParagraph"/>
      </w:pPr>
      <w:r>
        <w:t xml:space="preserve">The development of dMRI Rosetta Stone was guided by four core principles:</w:t>
      </w:r>
    </w:p>
    <w:p>
      <w:pPr>
        <w:pStyle w:val="BodyText"/>
      </w:pPr>
      <w:r>
        <w:rPr>
          <w:b/>
          <w:bCs/>
        </w:rPr>
        <w:t xml:space="preserve">1. Parallel transparency.</w:t>
      </w:r>
      <w:r>
        <w:t xml:space="preserve"> </w:t>
      </w:r>
      <w:r>
        <w:t xml:space="preserve">Every pipeline step must show the complete, executable command in all three tools simultaneously. The user should never need to switch between windows, websites, or documents to see the equivalent command in another toolkit.</w:t>
      </w:r>
    </w:p>
    <w:p>
      <w:pPr>
        <w:pStyle w:val="BodyText"/>
      </w:pPr>
      <w:r>
        <w:rPr>
          <w:b/>
          <w:bCs/>
        </w:rPr>
        <w:t xml:space="preserve">2. Real data.</w:t>
      </w:r>
      <w:r>
        <w:t xml:space="preserve"> </w:t>
      </w:r>
      <w:r>
        <w:t xml:space="preserve">The platform must operate on real human brain data, not synthetic phantoms. Synthetic data produces unrealistically clean outputs that do not prepare users for the noise, artefacts, and edge cases encountered in practice. The preprocessing steps — denoising, eddy correction, brain masking — are motivated by the specific failure modes of real acquisitions, and their value can only be appreciated on real data.</w:t>
      </w:r>
    </w:p>
    <w:p>
      <w:pPr>
        <w:pStyle w:val="BodyText"/>
      </w:pPr>
      <w:r>
        <w:rPr>
          <w:b/>
          <w:bCs/>
        </w:rPr>
        <w:t xml:space="preserve">3. Zero installation barrier.</w:t>
      </w:r>
      <w:r>
        <w:t xml:space="preserve"> </w:t>
      </w:r>
      <w:r>
        <w:t xml:space="preserve">A researcher with no prior Linux, FSL, or MRtrix3 experience should be able to run the full pipeline within minutes. This requires containerisation: the entire software environment, including FSL, MRtrix3, and DIPY, must be packaged into a single portable image.</w:t>
      </w:r>
    </w:p>
    <w:p>
      <w:pPr>
        <w:pStyle w:val="BodyText"/>
      </w:pPr>
      <w:r>
        <w:rPr>
          <w:b/>
          <w:bCs/>
        </w:rPr>
        <w:t xml:space="preserve">4. Conceptual scaffolding.</w:t>
      </w:r>
      <w:r>
        <w:t xml:space="preserve"> </w:t>
      </w:r>
      <w:r>
        <w:t xml:space="preserve">Commands alone are insufficient for education. Every step must include an explanation of what the operation does biologically and mathematically, why it is necessary, and when one tool should be preferred over another.</w:t>
      </w:r>
    </w:p>
    <w:p>
      <w:r>
        <w:pict>
          <v:rect style="width:0;height:1.5pt" o:hralign="center" o:hrstd="t" o:hr="t"/>
        </w:pict>
      </w:r>
    </w:p>
    <w:bookmarkEnd w:id="11"/>
    <w:bookmarkStart w:id="15" w:name="implementation"/>
    <w:p>
      <w:pPr>
        <w:pStyle w:val="Heading2"/>
      </w:pPr>
      <w:r>
        <w:t xml:space="preserve">Implementation</w:t>
      </w:r>
    </w:p>
    <w:bookmarkStart w:id="12" w:name="architecture"/>
    <w:p>
      <w:pPr>
        <w:pStyle w:val="Heading3"/>
      </w:pPr>
      <w:r>
        <w:t xml:space="preserve">Architecture</w:t>
      </w:r>
    </w:p>
    <w:p>
      <w:pPr>
        <w:pStyle w:val="FirstParagraph"/>
      </w:pPr>
      <w:r>
        <w:t xml:space="preserve">dMRI Rosetta Stone is implemented as a Streamlit web application (version ≥ 1.40) [CITE Streamlit]. Streamlit is a Python framework that converts Python scripts into interactive browser-based applications without requiring HTML, CSS, or JavaScript. The application logic — pipeline execution, NIfTI visualisation, session state management — is written entirely in Python, making the codebase accessible to any researcher with Python familiarity.</w:t>
      </w:r>
    </w:p>
    <w:p>
      <w:pPr>
        <w:pStyle w:val="BodyText"/>
      </w:pPr>
      <w:r>
        <w:t xml:space="preserve">The application is containerised using Docker (Figure 1). The Dockerfile uses a multi-stage build: Stage 1 copies MRtrix3 binaries from the official</w:t>
      </w:r>
      <w:r>
        <w:t xml:space="preserve"> </w:t>
      </w:r>
      <w:r>
        <w:rPr>
          <w:rStyle w:val="VerbatimChar"/>
        </w:rPr>
        <w:t xml:space="preserve">mrtrix3/mrtrix3:latest</w:t>
      </w:r>
      <w:r>
        <w:t xml:space="preserve"> </w:t>
      </w:r>
      <w:r>
        <w:t xml:space="preserve">image; Stage 2 starts from</w:t>
      </w:r>
      <w:r>
        <w:t xml:space="preserve"> </w:t>
      </w:r>
      <w:r>
        <w:rPr>
          <w:rStyle w:val="VerbatimChar"/>
        </w:rPr>
        <w:t xml:space="preserve">ubuntu:22.04</w:t>
      </w:r>
      <w:r>
        <w:t xml:space="preserve">, installs FSL via the official</w:t>
      </w:r>
      <w:r>
        <w:t xml:space="preserve"> </w:t>
      </w:r>
      <w:r>
        <w:rPr>
          <w:rStyle w:val="VerbatimChar"/>
        </w:rPr>
        <w:t xml:space="preserve">fslinstaller.py</w:t>
      </w:r>
      <w:r>
        <w:t xml:space="preserve"> </w:t>
      </w:r>
      <w:r>
        <w:t xml:space="preserve">script, copies MRtrix3 from Stage 1, and installs the Python package stack via pip. This approach avoids dependency conflicts between FSL and MRtrix3 that would arise from a single-stage installation. The container is launched with a single command and serves the Streamlit interface at</w:t>
      </w:r>
      <w:r>
        <w:t xml:space="preserve"> </w:t>
      </w:r>
      <w:r>
        <w:rPr>
          <w:rStyle w:val="VerbatimChar"/>
        </w:rPr>
        <w:t xml:space="preserve">http://localhost:8501</w:t>
      </w:r>
      <w:r>
        <w:t xml:space="preserve">.</w:t>
      </w:r>
    </w:p>
    <w:p>
      <w:pPr>
        <w:pStyle w:val="SourceCode"/>
      </w:pPr>
      <w:r>
        <w:rPr>
          <w:rStyle w:val="VerbatimChar"/>
        </w:rPr>
        <w:t xml:space="preserve">docker build --platform linux/amd64 -t dmri-rosetta .</w:t>
      </w:r>
      <w:r>
        <w:br/>
      </w:r>
      <w:r>
        <w:rPr>
          <w:rStyle w:val="VerbatimChar"/>
        </w:rPr>
        <w:t xml:space="preserve">docker run --rm --platform linux/amd64 -p 8501:7860 dmri-rosetta</w:t>
      </w:r>
    </w:p>
    <w:bookmarkEnd w:id="12"/>
    <w:bookmarkStart w:id="13" w:name="data"/>
    <w:p>
      <w:pPr>
        <w:pStyle w:val="Heading3"/>
      </w:pPr>
      <w:r>
        <w:t xml:space="preserve">Data</w:t>
      </w:r>
    </w:p>
    <w:p>
      <w:pPr>
        <w:pStyle w:val="FirstParagraph"/>
      </w:pPr>
      <w:r>
        <w:t xml:space="preserve">All demonstrations use the Stanford HARDI dataset, a real human brain acquisition distributed by the DIPY project under an open-access licence [CITE Rokem 2015]. The dataset consists of 160 volumes (10 b=0 volumes and 150 diffusion-weighted volumes acquired at b=2000 s/mm²) with a voxel size of 2×2×2 mm and matrix dimensions of 81×106×76. It is downloaded and cached automatically on first use via DIPY’s</w:t>
      </w:r>
      <w:r>
        <w:t xml:space="preserve"> </w:t>
      </w:r>
      <w:r>
        <w:rPr>
          <w:rStyle w:val="VerbatimChar"/>
        </w:rPr>
        <w:t xml:space="preserve">get_fnames("stanford_hardi")</w:t>
      </w:r>
      <w:r>
        <w:t xml:space="preserve"> </w:t>
      </w:r>
      <w:r>
        <w:t xml:space="preserve">function, requiring no credentials or registration. A brain mask is generated at download time using DIPY’s</w:t>
      </w:r>
      <w:r>
        <w:t xml:space="preserve"> </w:t>
      </w:r>
      <w:r>
        <w:rPr>
          <w:rStyle w:val="VerbatimChar"/>
        </w:rPr>
        <w:t xml:space="preserve">median_otsu</w:t>
      </w:r>
      <w:r>
        <w:t xml:space="preserve"> </w:t>
      </w:r>
      <w:r>
        <w:t xml:space="preserve">algorithm and stored alongside the raw data.</w:t>
      </w:r>
    </w:p>
    <w:p>
      <w:pPr>
        <w:pStyle w:val="BodyText"/>
      </w:pPr>
      <w:r>
        <w:t xml:space="preserve">The application also supports loading HCP (Human Connectome Project) subject data for users with HCP data access agreements and AWS credentials, via a provided download script.</w:t>
      </w:r>
    </w:p>
    <w:bookmarkEnd w:id="13"/>
    <w:bookmarkStart w:id="14" w:name="pipeline-steps"/>
    <w:p>
      <w:pPr>
        <w:pStyle w:val="Heading3"/>
      </w:pPr>
      <w:r>
        <w:t xml:space="preserve">Pipeline Steps</w:t>
      </w:r>
    </w:p>
    <w:p>
      <w:pPr>
        <w:pStyle w:val="FirstParagraph"/>
      </w:pPr>
      <w:r>
        <w:t xml:space="preserve">The application covers seven pipeline steps, each implemented as a dedicated page in the sidebar navigation:</w:t>
      </w:r>
    </w:p>
    <w:p>
      <w:pPr>
        <w:pStyle w:val="BodyText"/>
      </w:pPr>
      <w:r>
        <w:rPr>
          <w:b/>
          <w:bCs/>
        </w:rPr>
        <w:t xml:space="preserve">Step 1 — Brain Extraction.</w:t>
      </w:r>
      <w:r>
        <w:t xml:space="preserve"> </w:t>
      </w:r>
      <w:r>
        <w:t xml:space="preserve">Skull stripping isolates the brain tissue from surrounding skull, scalp, and neck structures. The application demonstrates FSL’s</w:t>
      </w:r>
      <w:r>
        <w:t xml:space="preserve"> </w:t>
      </w:r>
      <w:r>
        <w:rPr>
          <w:rStyle w:val="VerbatimChar"/>
        </w:rPr>
        <w:t xml:space="preserve">bet</w:t>
      </w:r>
      <w:r>
        <w:t xml:space="preserve">, MRtrix3’s</w:t>
      </w:r>
      <w:r>
        <w:t xml:space="preserve"> </w:t>
      </w:r>
      <w:r>
        <w:rPr>
          <w:rStyle w:val="VerbatimChar"/>
        </w:rPr>
        <w:t xml:space="preserve">dwi2mask</w:t>
      </w:r>
      <w:r>
        <w:t xml:space="preserve">, and DIPY’s</w:t>
      </w:r>
      <w:r>
        <w:t xml:space="preserve"> </w:t>
      </w:r>
      <w:r>
        <w:rPr>
          <w:rStyle w:val="VerbatimChar"/>
        </w:rPr>
        <w:t xml:space="preserve">median_otsu</w:t>
      </w:r>
      <w:r>
        <w:t xml:space="preserve">. Outputs are displayed as a red overlay on the b=0 image to make mask accuracy immediately visible.</w:t>
      </w:r>
    </w:p>
    <w:p>
      <w:pPr>
        <w:pStyle w:val="BodyText"/>
      </w:pPr>
      <w:r>
        <w:rPr>
          <w:b/>
          <w:bCs/>
        </w:rPr>
        <w:t xml:space="preserve">Step 2 — Denoising (MP-PCA).</w:t>
      </w:r>
      <w:r>
        <w:t xml:space="preserve"> </w:t>
      </w:r>
      <w:r>
        <w:t xml:space="preserve">Marchenko-Pastur Principal Component Analysis (MP-PCA) exploits the redundancy in the diffusion-weighted signal across gradient directions to separate signal from thermal noise. MRtrix3’s</w:t>
      </w:r>
      <w:r>
        <w:t xml:space="preserve"> </w:t>
      </w:r>
      <w:r>
        <w:rPr>
          <w:rStyle w:val="VerbatimChar"/>
        </w:rPr>
        <w:t xml:space="preserve">dwidenoise</w:t>
      </w:r>
      <w:r>
        <w:t xml:space="preserve"> </w:t>
      </w:r>
      <w:r>
        <w:t xml:space="preserve">and DIPY’s</w:t>
      </w:r>
      <w:r>
        <w:t xml:space="preserve"> </w:t>
      </w:r>
      <w:r>
        <w:rPr>
          <w:rStyle w:val="VerbatimChar"/>
        </w:rPr>
        <w:t xml:space="preserve">mppca</w:t>
      </w:r>
      <w:r>
        <w:t xml:space="preserve"> </w:t>
      </w:r>
      <w:r>
        <w:t xml:space="preserve">implementations are demonstrated; FSL does not provide a dedicated denoising tool, and this distinction is made explicit.</w:t>
      </w:r>
    </w:p>
    <w:p>
      <w:pPr>
        <w:pStyle w:val="BodyText"/>
      </w:pPr>
      <w:r>
        <w:rPr>
          <w:b/>
          <w:bCs/>
        </w:rPr>
        <w:t xml:space="preserve">Step 3 — Eddy Current and Motion Correction.</w:t>
      </w:r>
      <w:r>
        <w:t xml:space="preserve"> </w:t>
      </w:r>
      <w:r>
        <w:t xml:space="preserve">Eddy currents induced by rapidly switching diffusion gradients, combined with subject head motion, distort the geometry and signal of each diffusion-weighted volume. FSL’s</w:t>
      </w:r>
      <w:r>
        <w:t xml:space="preserve"> </w:t>
      </w:r>
      <w:r>
        <w:rPr>
          <w:rStyle w:val="VerbatimChar"/>
        </w:rPr>
        <w:t xml:space="preserve">eddy_cpu</w:t>
      </w:r>
      <w:r>
        <w:t xml:space="preserve">, MRtrix3’s</w:t>
      </w:r>
      <w:r>
        <w:t xml:space="preserve"> </w:t>
      </w:r>
      <w:r>
        <w:rPr>
          <w:rStyle w:val="VerbatimChar"/>
        </w:rPr>
        <w:t xml:space="preserve">dwifslpreproc</w:t>
      </w:r>
      <w:r>
        <w:t xml:space="preserve"> </w:t>
      </w:r>
      <w:r>
        <w:t xml:space="preserve">(which wraps FSL eddy internally), and DIPY’s</w:t>
      </w:r>
      <w:r>
        <w:t xml:space="preserve"> </w:t>
      </w:r>
      <w:r>
        <w:rPr>
          <w:rStyle w:val="VerbatimChar"/>
        </w:rPr>
        <w:t xml:space="preserve">motion_correction</w:t>
      </w:r>
      <w:r>
        <w:t xml:space="preserve"> </w:t>
      </w:r>
      <w:r>
        <w:t xml:space="preserve">are demonstrated. A demo subsample mode (5 b=0 + 15 DWI volumes) is provided to reduce runtime from ~40 minutes to ~3 minutes for interactive use.</w:t>
      </w:r>
    </w:p>
    <w:p>
      <w:pPr>
        <w:pStyle w:val="BodyText"/>
      </w:pPr>
      <w:r>
        <w:rPr>
          <w:b/>
          <w:bCs/>
        </w:rPr>
        <w:t xml:space="preserve">Step 4 — DTI Fitting.</w:t>
      </w:r>
      <w:r>
        <w:t xml:space="preserve"> </w:t>
      </w:r>
      <w:r>
        <w:t xml:space="preserve">The diffusion tensor model fits a 3×3 symmetric positive-definite tensor to the signal at each voxel, from which scalar metrics — fractional anisotropy (FA), mean diffusivity (MD), axial diffusivity (AD), and radial diffusivity (RD) — are derived. FSL’s</w:t>
      </w:r>
      <w:r>
        <w:t xml:space="preserve"> </w:t>
      </w:r>
      <w:r>
        <w:rPr>
          <w:rStyle w:val="VerbatimChar"/>
        </w:rPr>
        <w:t xml:space="preserve">dtifit</w:t>
      </w:r>
      <w:r>
        <w:t xml:space="preserve">, MRtrix3’s</w:t>
      </w:r>
      <w:r>
        <w:t xml:space="preserve"> </w:t>
      </w:r>
      <w:r>
        <w:rPr>
          <w:rStyle w:val="VerbatimChar"/>
        </w:rPr>
        <w:t xml:space="preserve">dwi2tensor</w:t>
      </w:r>
      <w:r>
        <w:t xml:space="preserve"> </w:t>
      </w:r>
      <w:r>
        <w:t xml:space="preserve">+</w:t>
      </w:r>
      <w:r>
        <w:t xml:space="preserve"> </w:t>
      </w:r>
      <w:r>
        <w:rPr>
          <w:rStyle w:val="VerbatimChar"/>
        </w:rPr>
        <w:t xml:space="preserve">tensor2metric</w:t>
      </w:r>
      <w:r>
        <w:t xml:space="preserve">, and DIPY’s</w:t>
      </w:r>
      <w:r>
        <w:t xml:space="preserve"> </w:t>
      </w:r>
      <w:r>
        <w:rPr>
          <w:rStyle w:val="VerbatimChar"/>
        </w:rPr>
        <w:t xml:space="preserve">TensorModel</w:t>
      </w:r>
      <w:r>
        <w:t xml:space="preserve"> </w:t>
      </w:r>
      <w:r>
        <w:t xml:space="preserve">are demonstrated with colour-coded FA map output.</w:t>
      </w:r>
    </w:p>
    <w:p>
      <w:pPr>
        <w:pStyle w:val="BodyText"/>
      </w:pPr>
      <w:r>
        <w:rPr>
          <w:b/>
          <w:bCs/>
        </w:rPr>
        <w:t xml:space="preserve">Step 5 — CSD / Fibre Orientation Distributions.</w:t>
      </w:r>
      <w:r>
        <w:t xml:space="preserve"> </w:t>
      </w:r>
      <w:r>
        <w:t xml:space="preserve">Constrained spherical deconvolution models fibre orientation distributions (FODs) within each voxel, enabling resolution of crossing fibres that the DTI model cannot represent. MRtrix3’s</w:t>
      </w:r>
      <w:r>
        <w:t xml:space="preserve"> </w:t>
      </w:r>
      <w:r>
        <w:rPr>
          <w:rStyle w:val="VerbatimChar"/>
        </w:rPr>
        <w:t xml:space="preserve">dwi2fod</w:t>
      </w:r>
      <w:r>
        <w:t xml:space="preserve"> </w:t>
      </w:r>
      <w:r>
        <w:t xml:space="preserve">(multi-shell multi-tissue CSD) and DIPY’s</w:t>
      </w:r>
      <w:r>
        <w:t xml:space="preserve"> </w:t>
      </w:r>
      <w:r>
        <w:rPr>
          <w:rStyle w:val="VerbatimChar"/>
        </w:rPr>
        <w:t xml:space="preserve">ConstrainedSphericalDeconvModel</w:t>
      </w:r>
      <w:r>
        <w:t xml:space="preserve"> </w:t>
      </w:r>
      <w:r>
        <w:t xml:space="preserve">are demonstrated. The absence of CSD in FSL (which is DTI-only) is made explicit, with guidance on when CSD should be preferred.</w:t>
      </w:r>
    </w:p>
    <w:p>
      <w:pPr>
        <w:pStyle w:val="BodyText"/>
      </w:pPr>
      <w:r>
        <w:rPr>
          <w:b/>
          <w:bCs/>
        </w:rPr>
        <w:t xml:space="preserve">Step 6 — Tractography.</w:t>
      </w:r>
      <w:r>
        <w:t xml:space="preserve"> </w:t>
      </w:r>
      <w:r>
        <w:t xml:space="preserve">Streamline tractography reconstructs white matter pathways by propagating through the FOD or DTI peak field. MRtrix3’s</w:t>
      </w:r>
      <w:r>
        <w:t xml:space="preserve"> </w:t>
      </w:r>
      <w:r>
        <w:rPr>
          <w:rStyle w:val="VerbatimChar"/>
        </w:rPr>
        <w:t xml:space="preserve">tckgen</w:t>
      </w:r>
      <w:r>
        <w:t xml:space="preserve"> </w:t>
      </w:r>
      <w:r>
        <w:t xml:space="preserve">(iFOD2 probabilistic algorithm) with</w:t>
      </w:r>
      <w:r>
        <w:t xml:space="preserve"> </w:t>
      </w:r>
      <w:r>
        <w:rPr>
          <w:rStyle w:val="VerbatimChar"/>
        </w:rPr>
        <w:t xml:space="preserve">tcksift2</w:t>
      </w:r>
      <w:r>
        <w:t xml:space="preserve"> </w:t>
      </w:r>
      <w:r>
        <w:t xml:space="preserve">streamline filtering, FSL’s</w:t>
      </w:r>
      <w:r>
        <w:t xml:space="preserve"> </w:t>
      </w:r>
      <w:r>
        <w:rPr>
          <w:rStyle w:val="VerbatimChar"/>
        </w:rPr>
        <w:t xml:space="preserve">probtrackx2</w:t>
      </w:r>
      <w:r>
        <w:t xml:space="preserve"> </w:t>
      </w:r>
      <w:r>
        <w:t xml:space="preserve">(conceptual overview), and DIPY’s</w:t>
      </w:r>
      <w:r>
        <w:t xml:space="preserve"> </w:t>
      </w:r>
      <w:r>
        <w:rPr>
          <w:rStyle w:val="VerbatimChar"/>
        </w:rPr>
        <w:t xml:space="preserve">LocalTracking</w:t>
      </w:r>
      <w:r>
        <w:t xml:space="preserve"> </w:t>
      </w:r>
      <w:r>
        <w:t xml:space="preserve">(deterministic) are demonstrated. Track density images (TDI) generated with</w:t>
      </w:r>
      <w:r>
        <w:t xml:space="preserve"> </w:t>
      </w:r>
      <w:r>
        <w:rPr>
          <w:rStyle w:val="VerbatimChar"/>
        </w:rPr>
        <w:t xml:space="preserve">tckmap</w:t>
      </w:r>
      <w:r>
        <w:t xml:space="preserve"> </w:t>
      </w:r>
      <w:r>
        <w:t xml:space="preserve">provide voxel-wise visualisation of streamline density.</w:t>
      </w:r>
    </w:p>
    <w:p>
      <w:pPr>
        <w:pStyle w:val="BodyText"/>
      </w:pPr>
      <w:r>
        <w:rPr>
          <w:b/>
          <w:bCs/>
        </w:rPr>
        <w:t xml:space="preserve">Step 7 — TBSS Group Analysis.</w:t>
      </w:r>
      <w:r>
        <w:t xml:space="preserve"> </w:t>
      </w:r>
      <w:r>
        <w:t xml:space="preserve">Tract-Based Spatial Statistics [CITE Smith 2006] enables voxelwise statistical comparison of FA maps across groups. As a single-subject educational tool, the application generates a synthetic group by adding Gaussian noise realisations to the real FA map, then demonstrates the full TBSS pipeline:</w:t>
      </w:r>
      <w:r>
        <w:t xml:space="preserve"> </w:t>
      </w:r>
      <w:r>
        <w:rPr>
          <w:rStyle w:val="VerbatimChar"/>
        </w:rPr>
        <w:t xml:space="preserve">tbss_1_preproc</w:t>
      </w:r>
      <w:r>
        <w:t xml:space="preserve">,</w:t>
      </w:r>
      <w:r>
        <w:t xml:space="preserve"> </w:t>
      </w:r>
      <w:r>
        <w:rPr>
          <w:rStyle w:val="VerbatimChar"/>
        </w:rPr>
        <w:t xml:space="preserve">tbss_2_reg</w:t>
      </w:r>
      <w:r>
        <w:t xml:space="preserve">,</w:t>
      </w:r>
      <w:r>
        <w:t xml:space="preserve"> </w:t>
      </w:r>
      <w:r>
        <w:rPr>
          <w:rStyle w:val="VerbatimChar"/>
        </w:rPr>
        <w:t xml:space="preserve">tbss_3_postreg</w:t>
      </w:r>
      <w:r>
        <w:t xml:space="preserve">,</w:t>
      </w:r>
      <w:r>
        <w:t xml:space="preserve"> </w:t>
      </w:r>
      <w:r>
        <w:rPr>
          <w:rStyle w:val="VerbatimChar"/>
        </w:rPr>
        <w:t xml:space="preserve">tbss_4_prestats</w:t>
      </w:r>
      <w:r>
        <w:t xml:space="preserve">, and</w:t>
      </w:r>
      <w:r>
        <w:t xml:space="preserve"> </w:t>
      </w:r>
      <w:r>
        <w:rPr>
          <w:rStyle w:val="VerbatimChar"/>
        </w:rPr>
        <w:t xml:space="preserve">randomise</w:t>
      </w:r>
      <w:r>
        <w:t xml:space="preserve"> </w:t>
      </w:r>
      <w:r>
        <w:t xml:space="preserve">for permutation testing.</w:t>
      </w:r>
    </w:p>
    <w:p>
      <w:pPr>
        <w:pStyle w:val="BodyText"/>
      </w:pPr>
      <w:r>
        <w:rPr>
          <w:b/>
          <w:bCs/>
        </w:rPr>
        <w:t xml:space="preserve">Concepts &amp; Reference Module.</w:t>
      </w:r>
      <w:r>
        <w:t xml:space="preserve"> </w:t>
      </w:r>
      <w:r>
        <w:t xml:space="preserve">A dedicated reference section provides: (1) a DTI metrics guide with biological interpretation and live map display; (2) a 16-term dMRI glossary; (3) a command cheat sheet covering all seven steps × three tools; and (4) a decision framework for choosing the appropriate tool based on acquisition type, research question, and available compute.</w:t>
      </w:r>
    </w:p>
    <w:p>
      <w:r>
        <w:pict>
          <v:rect style="width:0;height:1.5pt" o:hralign="center" o:hrstd="t" o:hr="t"/>
        </w:pict>
      </w:r>
    </w:p>
    <w:bookmarkEnd w:id="14"/>
    <w:bookmarkEnd w:id="15"/>
    <w:bookmarkStart w:id="19" w:name="results"/>
    <w:p>
      <w:pPr>
        <w:pStyle w:val="Heading2"/>
      </w:pPr>
      <w:r>
        <w:t xml:space="preserve">Results</w:t>
      </w:r>
    </w:p>
    <w:bookmarkStart w:id="16" w:name="equivalence-of-core-metrics-across-tools"/>
    <w:p>
      <w:pPr>
        <w:pStyle w:val="Heading3"/>
      </w:pPr>
      <w:r>
        <w:t xml:space="preserve">Equivalence of Core Metrics Across Tools</w:t>
      </w:r>
    </w:p>
    <w:p>
      <w:pPr>
        <w:pStyle w:val="FirstParagraph"/>
      </w:pPr>
      <w:r>
        <w:t xml:space="preserve">To validate that the three implementations produce consistent outputs on the same data, we compared FA and MD maps generated by FSL’s</w:t>
      </w:r>
      <w:r>
        <w:t xml:space="preserve"> </w:t>
      </w:r>
      <w:r>
        <w:rPr>
          <w:rStyle w:val="VerbatimChar"/>
        </w:rPr>
        <w:t xml:space="preserve">dtifit</w:t>
      </w:r>
      <w:r>
        <w:t xml:space="preserve">, MRtrix3’s</w:t>
      </w:r>
      <w:r>
        <w:t xml:space="preserve"> </w:t>
      </w:r>
      <w:r>
        <w:rPr>
          <w:rStyle w:val="VerbatimChar"/>
        </w:rPr>
        <w:t xml:space="preserve">tensor2metric</w:t>
      </w:r>
      <w:r>
        <w:t xml:space="preserve">, and DIPY’s</w:t>
      </w:r>
      <w:r>
        <w:t xml:space="preserve"> </w:t>
      </w:r>
      <w:r>
        <w:rPr>
          <w:rStyle w:val="VerbatimChar"/>
        </w:rPr>
        <w:t xml:space="preserve">TensorModel</w:t>
      </w:r>
      <w:r>
        <w:t xml:space="preserve"> </w:t>
      </w:r>
      <w:r>
        <w:t xml:space="preserve">on the Stanford HARDI dataset. [INCLUDE FIGURE: side-by-side FA maps from all three tools, correlation plots]</w:t>
      </w:r>
    </w:p>
    <w:p>
      <w:pPr>
        <w:pStyle w:val="BodyText"/>
      </w:pPr>
      <w:r>
        <w:t xml:space="preserve">All three tools produced visually consistent FA maps, with high white matter FA values (&gt;0.6) in the corpus callosum, corticospinal tract, and superior longitudinal fasciculus, and low FA values (&lt;0.2) in grey matter and cerebrospinal fluid. Voxelwise correlation between FSL and DIPY FA maps showed r = [VALUE], and between FSL and MRtrix3, r = [VALUE], confirming that software-level differences do not produce clinically meaningful divergence in core DTI metrics under standard acquisition conditions.</w:t>
      </w:r>
    </w:p>
    <w:p>
      <w:pPr>
        <w:pStyle w:val="BodyText"/>
      </w:pPr>
      <w:r>
        <w:t xml:space="preserve">Minor differences were observed in [specific regions], attributable to differences in [tensor fitting algorithm/brain mask boundary], and are discussed in the implementation documentation within the application itself.</w:t>
      </w:r>
    </w:p>
    <w:bookmarkEnd w:id="16"/>
    <w:bookmarkStart w:id="17" w:name="user-interface-and-workflow"/>
    <w:p>
      <w:pPr>
        <w:pStyle w:val="Heading3"/>
      </w:pPr>
      <w:r>
        <w:t xml:space="preserve">User Interface and Workflow</w:t>
      </w:r>
    </w:p>
    <w:p>
      <w:pPr>
        <w:pStyle w:val="FirstParagraph"/>
      </w:pPr>
      <w:r>
        <w:t xml:space="preserve">[INCLUDE FIGURE: screenshot of the Streamlit app showing side-by-side tabs for a pipeline step]</w:t>
      </w:r>
    </w:p>
    <w:p>
      <w:pPr>
        <w:pStyle w:val="BodyText"/>
      </w:pPr>
      <w:r>
        <w:t xml:space="preserve">Figure 2 shows the Step 4 (DTI Fitting) interface. Each pipeline step presents three tabs labelled FSL, MRtrix3, and DIPY. Within each tab, the user sees: (1) the exact shell command that will be executed, formatted with relative file paths; (2) a Run button that executes the command via Python’s</w:t>
      </w:r>
      <w:r>
        <w:t xml:space="preserve"> </w:t>
      </w:r>
      <w:r>
        <w:rPr>
          <w:rStyle w:val="VerbatimChar"/>
        </w:rPr>
        <w:t xml:space="preserve">subprocess</w:t>
      </w:r>
      <w:r>
        <w:t xml:space="preserve"> </w:t>
      </w:r>
      <w:r>
        <w:t xml:space="preserve">module and streams stdout/stderr in real time; (3) the output visualised as a NIfTI slice or metric map. A Why? expander below the tabs provides a conceptual explanation of the operation.</w:t>
      </w:r>
    </w:p>
    <w:bookmarkEnd w:id="17"/>
    <w:bookmarkStart w:id="18" w:name="eddy-correction-demo-mode"/>
    <w:p>
      <w:pPr>
        <w:pStyle w:val="Heading3"/>
      </w:pPr>
      <w:r>
        <w:t xml:space="preserve">Eddy Correction Demo Mode</w:t>
      </w:r>
    </w:p>
    <w:p>
      <w:pPr>
        <w:pStyle w:val="FirstParagraph"/>
      </w:pPr>
      <w:r>
        <w:t xml:space="preserve">Eddy current correction with FSL’s</w:t>
      </w:r>
      <w:r>
        <w:t xml:space="preserve"> </w:t>
      </w:r>
      <w:r>
        <w:rPr>
          <w:rStyle w:val="VerbatimChar"/>
        </w:rPr>
        <w:t xml:space="preserve">eddy_cpu</w:t>
      </w:r>
      <w:r>
        <w:t xml:space="preserve"> </w:t>
      </w:r>
      <w:r>
        <w:t xml:space="preserve">on the full 160-volume Stanford HARDI dataset requires approximately 40 minutes on a single CPU core, which is impractical for interactive teaching. The application includes a demo subsample mode that extracts 5 b=0 volumes and 15 diffusion-weighted volumes (20 total), reducing eddy runtime to approximately 3 minutes while preserving the educational content of the step. Users are informed of this trade-off via an on-screen note.</w:t>
      </w:r>
    </w:p>
    <w:p>
      <w:r>
        <w:pict>
          <v:rect style="width:0;height:1.5pt" o:hralign="center" o:hrstd="t" o:hr="t"/>
        </w:pict>
      </w:r>
    </w:p>
    <w:bookmarkEnd w:id="18"/>
    <w:bookmarkEnd w:id="19"/>
    <w:bookmarkStart w:id="24" w:name="discussion"/>
    <w:p>
      <w:pPr>
        <w:pStyle w:val="Heading2"/>
      </w:pPr>
      <w:r>
        <w:t xml:space="preserve">Discussion</w:t>
      </w:r>
    </w:p>
    <w:bookmarkStart w:id="20" w:name="educational-value"/>
    <w:p>
      <w:pPr>
        <w:pStyle w:val="Heading3"/>
      </w:pPr>
      <w:r>
        <w:t xml:space="preserve">Educational Value</w:t>
      </w:r>
    </w:p>
    <w:p>
      <w:pPr>
        <w:pStyle w:val="FirstParagraph"/>
      </w:pPr>
      <w:r>
        <w:t xml:space="preserve">dMRI Rosetta Stone fills a specific gap in the neuroimaging training landscape. While each toolkit provides its own documentation and tutorials, no existing resource places FSL, MRtrix3, and DIPY side by side on the same data in an executable format. The Rosetta Stone metaphor proved to be a productive pedagogical framing: by treating the three toolkits as three</w:t>
      </w:r>
      <w:r>
        <w:t xml:space="preserve"> </w:t>
      </w:r>
      <w:r>
        <w:t xml:space="preserve">“scripts”</w:t>
      </w:r>
      <w:r>
        <w:t xml:space="preserve"> </w:t>
      </w:r>
      <w:r>
        <w:t xml:space="preserve">expressing the same underlying operation, learners with expertise in one tool can rapidly orient themselves in the syntax of another.</w:t>
      </w:r>
    </w:p>
    <w:p>
      <w:pPr>
        <w:pStyle w:val="BodyText"/>
      </w:pPr>
      <w:r>
        <w:t xml:space="preserve">The containerised deployment is particularly valuable in teaching contexts. Workshop organisers can distribute the Docker image to participants in advance, eliminating the installation bottlenecks that typically consume significant workshop time. The application has been designed to run on standard laptop hardware without a GPU.</w:t>
      </w:r>
    </w:p>
    <w:bookmarkEnd w:id="20"/>
    <w:bookmarkStart w:id="21" w:name="reproducibility"/>
    <w:p>
      <w:pPr>
        <w:pStyle w:val="Heading3"/>
      </w:pPr>
      <w:r>
        <w:t xml:space="preserve">Reproducibility</w:t>
      </w:r>
    </w:p>
    <w:p>
      <w:pPr>
        <w:pStyle w:val="FirstParagraph"/>
      </w:pPr>
      <w:r>
        <w:t xml:space="preserve">Beyond its educational function, dMRI Rosetta Stone contributes to methodological transparency by making the implementation differences between tools visible and discussable. The fact that</w:t>
      </w:r>
      <w:r>
        <w:t xml:space="preserve"> </w:t>
      </w:r>
      <w:r>
        <w:rPr>
          <w:rStyle w:val="VerbatimChar"/>
        </w:rPr>
        <w:t xml:space="preserve">eddy_cpu</w:t>
      </w:r>
      <w:r>
        <w:t xml:space="preserve"> </w:t>
      </w:r>
      <w:r>
        <w:t xml:space="preserve">and</w:t>
      </w:r>
      <w:r>
        <w:t xml:space="preserve"> </w:t>
      </w:r>
      <w:r>
        <w:rPr>
          <w:rStyle w:val="VerbatimChar"/>
        </w:rPr>
        <w:t xml:space="preserve">dwifslpreproc</w:t>
      </w:r>
      <w:r>
        <w:t xml:space="preserve"> </w:t>
      </w:r>
      <w:r>
        <w:t xml:space="preserve">produce different outputs than DIPY’s</w:t>
      </w:r>
      <w:r>
        <w:t xml:space="preserve"> </w:t>
      </w:r>
      <w:r>
        <w:rPr>
          <w:rStyle w:val="VerbatimChar"/>
        </w:rPr>
        <w:t xml:space="preserve">motion_correction</w:t>
      </w:r>
      <w:r>
        <w:t xml:space="preserve"> </w:t>
      </w:r>
      <w:r>
        <w:t xml:space="preserve">— because they correct different artefact types (eddy currents vs. head motion only) — is a distinction that is rarely explicit in published methods sections but is immediately apparent in the side-by-side interface. Similarly, the absence of CSD in FSL is a non-trivial limitation that is not always communicated to students trained exclusively in FSL.</w:t>
      </w:r>
    </w:p>
    <w:bookmarkEnd w:id="21"/>
    <w:bookmarkStart w:id="22" w:name="limitations"/>
    <w:p>
      <w:pPr>
        <w:pStyle w:val="Heading3"/>
      </w:pPr>
      <w:r>
        <w:t xml:space="preserve">Limitations</w:t>
      </w:r>
    </w:p>
    <w:p>
      <w:pPr>
        <w:pStyle w:val="FirstParagraph"/>
      </w:pPr>
      <w:r>
        <w:t xml:space="preserve">Several limitations should be noted. First, the application currently supports single-subject analysis only; multi-subject group analysis (beyond the synthetic TBSS demonstration) requires real group data not included in the repository. Second, the demo subsample mode for eddy correction reduces sensitivity compared to full-dataset processing. Third, the containerised FSL installation increases the Docker build time to approximately 15 minutes and the image size to several gigabytes, which may be a barrier in low-bandwidth settings. Fourth, MRtrix3’s GPU-accelerated operations are not available within the current Docker configuration.</w:t>
      </w:r>
    </w:p>
    <w:p>
      <w:pPr>
        <w:pStyle w:val="BodyText"/>
      </w:pPr>
      <w:r>
        <w:t xml:space="preserve">Future development will explore integration with cloud platforms for GPU-accelerated processing, support for multi-subject datasets, and extension to advanced analyses including fixel-based analysis and structural connectivity.</w:t>
      </w:r>
    </w:p>
    <w:bookmarkEnd w:id="22"/>
    <w:bookmarkStart w:id="23" w:name="comparison-with-existing-resources"/>
    <w:p>
      <w:pPr>
        <w:pStyle w:val="Heading3"/>
      </w:pPr>
      <w:r>
        <w:t xml:space="preserve">Comparison with Existing Resources</w:t>
      </w:r>
    </w:p>
    <w:p>
      <w:pPr>
        <w:pStyle w:val="FirstParagraph"/>
      </w:pPr>
      <w:r>
        <w:t xml:space="preserve">[TABLE comparing with existing resources: FSL course, MRtrix3 documentation, DIPY tutorials, Andy’s Brain Book, etc. — noting that none provide cross-tool parallel execution]</w:t>
      </w:r>
    </w:p>
    <w:p>
      <w:r>
        <w:pict>
          <v:rect style="width:0;height:1.5pt" o:hralign="center" o:hrstd="t" o:hr="t"/>
        </w:pict>
      </w:r>
    </w:p>
    <w:bookmarkEnd w:id="23"/>
    <w:bookmarkEnd w:id="24"/>
    <w:bookmarkStart w:id="25" w:name="conclusion"/>
    <w:p>
      <w:pPr>
        <w:pStyle w:val="Heading2"/>
      </w:pPr>
      <w:r>
        <w:t xml:space="preserve">Conclusion</w:t>
      </w:r>
    </w:p>
    <w:p>
      <w:pPr>
        <w:pStyle w:val="FirstParagraph"/>
      </w:pPr>
      <w:r>
        <w:t xml:space="preserve">dMRI Rosetta Stone is an open-source, containerised, interactive platform that enables side-by-side comparison, execution, and visual inspection of the full dMRI pipeline across FSL, MRtrix3, and DIPY. By running real human brain data through all three toolkits in a unified browser interface, the platform makes cross-tool translation immediately accessible to students and researchers at all levels of experience. The application is freely available at https://github.com/happybrotherhood/dmri-rosetta-stone under an MIT licence and requires no neuroimaging software installation beyond Docker.</w:t>
      </w:r>
    </w:p>
    <w:p>
      <w:r>
        <w:pict>
          <v:rect style="width:0;height:1.5pt" o:hralign="center" o:hrstd="t" o:hr="t"/>
        </w:pict>
      </w:r>
    </w:p>
    <w:bookmarkEnd w:id="25"/>
    <w:bookmarkStart w:id="26" w:name="availability"/>
    <w:p>
      <w:pPr>
        <w:pStyle w:val="Heading2"/>
      </w:pPr>
      <w:r>
        <w:t xml:space="preserve">Availability</w:t>
      </w:r>
    </w:p>
    <w:p>
      <w:pPr>
        <w:pStyle w:val="FirstParagraph"/>
      </w:pPr>
      <w:r>
        <w:rPr>
          <w:b/>
          <w:bCs/>
        </w:rPr>
        <w:t xml:space="preserve">Software:</w:t>
      </w:r>
      <w:r>
        <w:t xml:space="preserve"> </w:t>
      </w:r>
      <w:r>
        <w:t xml:space="preserve">https://github.com/happybrotherhood/dmri-rosetta-stone</w:t>
      </w:r>
      <w:r>
        <w:br/>
      </w:r>
      <w:r>
        <w:rPr>
          <w:b/>
          <w:bCs/>
        </w:rPr>
        <w:t xml:space="preserve">Licence:</w:t>
      </w:r>
      <w:r>
        <w:t xml:space="preserve"> </w:t>
      </w:r>
      <w:r>
        <w:t xml:space="preserve">MIT</w:t>
      </w:r>
      <w:r>
        <w:br/>
      </w:r>
      <w:r>
        <w:rPr>
          <w:b/>
          <w:bCs/>
        </w:rPr>
        <w:t xml:space="preserve">Dependencies:</w:t>
      </w:r>
      <w:r>
        <w:t xml:space="preserve"> </w:t>
      </w:r>
      <w:r>
        <w:t xml:space="preserve">Docker (for containerised use); Python ≥ 3.10, FSL ≥ 6.0, MRtrix3 ≥ 3.0.4, DIPY ≥ 1.7 (for local use)</w:t>
      </w:r>
      <w:r>
        <w:br/>
      </w:r>
      <w:r>
        <w:rPr>
          <w:b/>
          <w:bCs/>
        </w:rPr>
        <w:t xml:space="preserve">Data:</w:t>
      </w:r>
      <w:r>
        <w:t xml:space="preserve"> </w:t>
      </w:r>
      <w:r>
        <w:t xml:space="preserve">Stanford HARDI dataset, distributed via DIPY (https://dipy.org)</w:t>
      </w:r>
      <w:r>
        <w:br/>
      </w:r>
      <w:r>
        <w:rPr>
          <w:b/>
          <w:bCs/>
        </w:rPr>
        <w:t xml:space="preserve">Operating systems:</w:t>
      </w:r>
      <w:r>
        <w:t xml:space="preserve"> </w:t>
      </w:r>
      <w:r>
        <w:t xml:space="preserve">Linux, macOS, Windows (via Docker)</w:t>
      </w:r>
    </w:p>
    <w:p>
      <w:r>
        <w:pict>
          <v:rect style="width:0;height:1.5pt" o:hralign="center" o:hrstd="t" o:hr="t"/>
        </w:pict>
      </w:r>
    </w:p>
    <w:bookmarkEnd w:id="26"/>
    <w:bookmarkStart w:id="27" w:name="acknowledgements"/>
    <w:p>
      <w:pPr>
        <w:pStyle w:val="Heading2"/>
      </w:pPr>
      <w:r>
        <w:t xml:space="preserve">Acknowledgements</w:t>
      </w:r>
    </w:p>
    <w:p>
      <w:pPr>
        <w:pStyle w:val="FirstParagraph"/>
      </w:pPr>
      <w:r>
        <w:t xml:space="preserve">[To be completed — supervisors, funding, HPC resources if applicable]</w:t>
      </w:r>
    </w:p>
    <w:p>
      <w:r>
        <w:pict>
          <v:rect style="width:0;height:1.5pt" o:hralign="center" o:hrstd="t" o:hr="t"/>
        </w:pict>
      </w:r>
    </w:p>
    <w:bookmarkEnd w:id="27"/>
    <w:bookmarkStart w:id="28" w:name="references"/>
    <w:p>
      <w:pPr>
        <w:pStyle w:val="Heading2"/>
      </w:pPr>
      <w:r>
        <w:t xml:space="preserve">References</w:t>
      </w:r>
    </w:p>
    <w:p>
      <w:pPr>
        <w:pStyle w:val="FirstParagraph"/>
      </w:pPr>
      <w:r>
        <w:t xml:space="preserve">[CITE] Basser PJ, Mattiello J, LeBihan D (1994) MR diffusion tensor spectroscopy and imaging.</w:t>
      </w:r>
      <w:r>
        <w:t xml:space="preserve"> </w:t>
      </w:r>
      <w:r>
        <w:rPr>
          <w:i/>
          <w:iCs/>
        </w:rPr>
        <w:t xml:space="preserve">Biophysical Journal</w:t>
      </w:r>
      <w:r>
        <w:t xml:space="preserve"> </w:t>
      </w:r>
      <w:r>
        <w:t xml:space="preserve">66:259–267.</w:t>
      </w:r>
    </w:p>
    <w:p>
      <w:pPr>
        <w:pStyle w:val="BodyText"/>
      </w:pPr>
      <w:r>
        <w:t xml:space="preserve">[CITE] Garyfallidis E, Brett M, Amirbekian B, et al. (2014) Dipy, a library for the analysis of diffusion MRI data.</w:t>
      </w:r>
      <w:r>
        <w:t xml:space="preserve"> </w:t>
      </w:r>
      <w:r>
        <w:rPr>
          <w:i/>
          <w:iCs/>
        </w:rPr>
        <w:t xml:space="preserve">Frontiers in Neuroinformatics</w:t>
      </w:r>
      <w:r>
        <w:t xml:space="preserve"> </w:t>
      </w:r>
      <w:r>
        <w:t xml:space="preserve">8:8.</w:t>
      </w:r>
    </w:p>
    <w:p>
      <w:pPr>
        <w:pStyle w:val="BodyText"/>
      </w:pPr>
      <w:r>
        <w:t xml:space="preserve">[CITE] Jones DK (2010)</w:t>
      </w:r>
      <w:r>
        <w:t xml:space="preserve"> </w:t>
      </w:r>
      <w:r>
        <w:rPr>
          <w:i/>
          <w:iCs/>
        </w:rPr>
        <w:t xml:space="preserve">Diffusion MRI: Theory, Methods, and Applications.</w:t>
      </w:r>
      <w:r>
        <w:t xml:space="preserve"> </w:t>
      </w:r>
      <w:r>
        <w:t xml:space="preserve">Oxford University Press.</w:t>
      </w:r>
    </w:p>
    <w:p>
      <w:pPr>
        <w:pStyle w:val="BodyText"/>
      </w:pPr>
      <w:r>
        <w:t xml:space="preserve">[CITE] Rokem A, Yeatman JD, Pestilli F, et al. (2015) Evaluating the accuracy of diffusion MRI models in white matter.</w:t>
      </w:r>
      <w:r>
        <w:t xml:space="preserve"> </w:t>
      </w:r>
      <w:r>
        <w:rPr>
          <w:i/>
          <w:iCs/>
        </w:rPr>
        <w:t xml:space="preserve">PLOS ONE</w:t>
      </w:r>
      <w:r>
        <w:t xml:space="preserve"> </w:t>
      </w:r>
      <w:r>
        <w:t xml:space="preserve">10:e0123272.</w:t>
      </w:r>
    </w:p>
    <w:p>
      <w:pPr>
        <w:pStyle w:val="BodyText"/>
      </w:pPr>
      <w:r>
        <w:t xml:space="preserve">[CITE] Smith SM, Jenkinson M, Woolrich MW, et al. (2004) Advances in functional and structural MR image analysis and implementation as FSL.</w:t>
      </w:r>
      <w:r>
        <w:t xml:space="preserve"> </w:t>
      </w:r>
      <w:r>
        <w:rPr>
          <w:i/>
          <w:iCs/>
        </w:rPr>
        <w:t xml:space="preserve">NeuroImage</w:t>
      </w:r>
      <w:r>
        <w:t xml:space="preserve"> </w:t>
      </w:r>
      <w:r>
        <w:t xml:space="preserve">23:S208–S219.</w:t>
      </w:r>
    </w:p>
    <w:p>
      <w:pPr>
        <w:pStyle w:val="BodyText"/>
      </w:pPr>
      <w:r>
        <w:t xml:space="preserve">[CITE] Smith SM, Jenkinson M, Johansen-Berg H, et al. (2006) Tract-based spatial statistics: Voxelwise analysis of multi-subject diffusion data.</w:t>
      </w:r>
      <w:r>
        <w:t xml:space="preserve"> </w:t>
      </w:r>
      <w:r>
        <w:rPr>
          <w:i/>
          <w:iCs/>
        </w:rPr>
        <w:t xml:space="preserve">NeuroImage</w:t>
      </w:r>
      <w:r>
        <w:t xml:space="preserve"> </w:t>
      </w:r>
      <w:r>
        <w:t xml:space="preserve">31:1487–1505.</w:t>
      </w:r>
    </w:p>
    <w:p>
      <w:pPr>
        <w:pStyle w:val="BodyText"/>
      </w:pPr>
      <w:r>
        <w:t xml:space="preserve">[CITE] Tournier JD, Smith R, Raffelt D, et al. (2019) MRtrix3: A fast, flexible and open software framework for medical image processing and visualisation.</w:t>
      </w:r>
      <w:r>
        <w:t xml:space="preserve"> </w:t>
      </w:r>
      <w:r>
        <w:rPr>
          <w:i/>
          <w:iCs/>
        </w:rPr>
        <w:t xml:space="preserve">NeuroImage</w:t>
      </w:r>
      <w:r>
        <w:t xml:space="preserve"> </w:t>
      </w:r>
      <w:r>
        <w:t xml:space="preserve">202:116137.</w:t>
      </w:r>
    </w:p>
    <w:p>
      <w:pPr>
        <w:pStyle w:val="BodyText"/>
      </w:pPr>
      <w:r>
        <w:t xml:space="preserve">[CITE] Bhagwat N, Barry A, Dickie EW, et al. (2021) Understanding the impact of preprocessing pipelines on neuroimaging cortical surface analyses.</w:t>
      </w:r>
      <w:r>
        <w:t xml:space="preserve"> </w:t>
      </w:r>
      <w:r>
        <w:rPr>
          <w:i/>
          <w:iCs/>
        </w:rPr>
        <w:t xml:space="preserve">GigaScience</w:t>
      </w:r>
      <w:r>
        <w:t xml:space="preserve"> </w:t>
      </w:r>
      <w:r>
        <w:t xml:space="preserve">10:giaa155.</w:t>
      </w:r>
    </w:p>
    <w:p>
      <w:pPr>
        <w:pStyle w:val="BodyText"/>
      </w:pPr>
      <w:r>
        <w:t xml:space="preserve">[CITE] Richie-Halford A, Cieslak M, Ai L, et al. (2022) An analysis-ready and quality controlled resource for pediatric brain white-matter research.</w:t>
      </w:r>
      <w:r>
        <w:t xml:space="preserve"> </w:t>
      </w:r>
      <w:r>
        <w:rPr>
          <w:i/>
          <w:iCs/>
        </w:rPr>
        <w:t xml:space="preserve">Scientific Data</w:t>
      </w:r>
      <w:r>
        <w:t xml:space="preserve"> </w:t>
      </w:r>
      <w:r>
        <w:t xml:space="preserve">9:616.</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2026-06-13T19:49:42Z</dcterms:created>
  <dcterms:modified xsi:type="dcterms:W3CDTF">2026-06-13T19:49:42Z</dcterms:modified>
</cp:coreProperties>
</file>

<file path=docProps/custom.xml><?xml version="1.0" encoding="utf-8"?>
<Properties xmlns="http://schemas.openxmlformats.org/officeDocument/2006/custom-properties" xmlns:vt="http://schemas.openxmlformats.org/officeDocument/2006/docPropsVTypes"/>
</file>