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identical tensors when given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by the weighting scheme they apply by default, not by code</w:t>
      </w:r>
    </w:p>
    <w:p>
      <w:pPr>
        <w:pStyle w:val="Compact"/>
        <w:numPr>
          <w:ilvl w:val="0"/>
          <w:numId w:val="1001"/>
        </w:numPr>
      </w:pPr>
      <w:r>
        <w:t xml:space="preserve">FSL’s –wls uses the scheme Veraart et al. (2013) advise against</w:t>
      </w:r>
    </w:p>
    <w:p>
      <w:pPr>
        <w:pStyle w:val="Compact"/>
        <w:numPr>
          <w:ilvl w:val="0"/>
          <w:numId w:val="1001"/>
        </w:numPr>
      </w:pPr>
      <w:r>
        <w:t xml:space="preserve">The two schemes differ negligibly at SNR 30 but clearly at SNR 10</w:t>
      </w:r>
    </w:p>
    <w:p>
      <w:pPr>
        <w:pStyle w:val="Compact"/>
        <w:numPr>
          <w:ilvl w:val="0"/>
          <w:numId w:val="1001"/>
        </w:numPr>
      </w:pPr>
      <w:r>
        <w:t xml:space="preserve">One flag within FSL changes FA more than switching to another toolkit</w:t>
      </w:r>
    </w:p>
    <w:sectPr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openxmlformats.org/wordprocessingml/2006/main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2026-09-10T09:56:32Z</dcterms:created>
  <dcterms:modified xsi:type="dcterms:W3CDTF">2026-09-10T09:56:32Z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