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FSL, MRtrix3 and DIPY compared on identical input across two open datasets</w:t>
      </w:r>
    </w:p>
    <w:p>
      <w:pPr>
        <w:pStyle w:val="Compact"/>
        <w:numPr>
          <w:ilvl w:val="0"/>
          <w:numId w:val="1001"/>
        </w:numPr>
      </w:pPr>
      <w:r>
        <w:t xml:space="preserve">MRtrix3 and DIPY agree to r &gt; 0.996 for FA and MD; FSL diverges from both</w:t>
      </w:r>
    </w:p>
    <w:p>
      <w:pPr>
        <w:pStyle w:val="Compact"/>
        <w:numPr>
          <w:ilvl w:val="0"/>
          <w:numId w:val="1001"/>
        </w:numPr>
      </w:pPr>
      <w:r>
        <w:t xml:space="preserve">The FSL offset is not fixed: its sign reverses between the two acquisitions</w:t>
      </w:r>
    </w:p>
    <w:p>
      <w:pPr>
        <w:pStyle w:val="Compact"/>
        <w:numPr>
          <w:ilvl w:val="0"/>
          <w:numId w:val="1001"/>
        </w:numPr>
      </w:pPr>
      <w:r>
        <w:t xml:space="preserve">Non-physical tensor fits reached 4% of voxels in FSL, 2% in MRtrix3, 0% in DIPY</w:t>
      </w:r>
    </w:p>
    <w:p>
      <w:pPr>
        <w:pStyle w:val="Compact"/>
        <w:numPr>
          <w:ilvl w:val="0"/>
          <w:numId w:val="1001"/>
        </w:numPr>
      </w:pPr>
      <w:r>
        <w:t xml:space="preserve">Ignoring those voxels drops an apparent MD correlation from 0.997 to 0.118</w:t>
      </w:r>
    </w:p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openxmlformats.org/wordprocessingml/2006/main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16.0000</AppVersion>
  <LinksUpToDate>false</LinksUpToDate>
  <Application>Microsoft Office Word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2026-09-09T16:28:44Z</dcterms:created>
  <dcterms:modified xsi:type="dcterms:W3CDTF">2026-09-09T16:28:44Z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