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FSL and MRtrix3 give matching tensors (r = 1.0000) with the same estimator</w:t>
      </w:r>
    </w:p>
    <w:p>
      <w:pPr>
        <w:pStyle w:val="Compact"/>
        <w:numPr>
          <w:ilvl w:val="0"/>
          <w:numId w:val="1001"/>
        </w:numPr>
      </w:pPr>
      <w:r>
        <w:t xml:space="preserve">Toolkits differ mainly in the estimator they apply by default</w:t>
      </w:r>
    </w:p>
    <w:p>
      <w:pPr>
        <w:pStyle w:val="Compact"/>
        <w:numPr>
          <w:ilvl w:val="0"/>
          <w:numId w:val="1001"/>
        </w:numPr>
      </w:pPr>
      <w:r>
        <w:t xml:space="preserve">FSL's --wls weights by the measured signal, a scheme known to bias estimates</w:t>
      </w:r>
    </w:p>
    <w:p>
      <w:pPr>
        <w:pStyle w:val="Compact"/>
        <w:numPr>
          <w:ilvl w:val="0"/>
          <w:numId w:val="1001"/>
        </w:numPr>
      </w:pPr>
      <w:r>
        <w:t xml:space="preserve">In anisotropic phantoms that scheme was most biased, more so as SNR fell</w:t>
      </w:r>
    </w:p>
    <w:p>
      <w:pPr>
        <w:pStyle w:val="Compact"/>
        <w:numPr>
          <w:ilvl w:val="0"/>
          <w:numId w:val="1001"/>
        </w:numPr>
      </w:pPr>
      <w:r>
        <w:t xml:space="preserve">Reporting the estimator, not only the toolkit, is needed for reproducibility</w:t>
      </w:r>
    </w:p>
    <w:bookmarkEnd w:id="9"/>
    <w:sectPr>
      <w:footnotePr>
        <w:numRestart w:val="eachSect"/>
      </w:footnote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openxmlformats.org/wordprocessingml/2006/main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16.0000</AppVersion>
  <LinksUpToDate>false</LinksUpToDate>
  <Application>Microsoft Office Word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2026-09-15T22:41:55Z</dcterms:created>
  <dcterms:modified xsi:type="dcterms:W3CDTF">2026-09-15T22:41:55Z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