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 and MRtrix3 return matching tensors (r = 1.0000) with the same estimator</w:t>
      </w:r>
    </w:p>
    <w:p>
      <w:pPr>
        <w:pStyle w:val="Compact"/>
        <w:numPr>
          <w:ilvl w:val="0"/>
          <w:numId w:val="1001"/>
        </w:numPr>
      </w:pPr>
      <w:r>
        <w:t xml:space="preserve">Toolkits differ mainly in the estimator they apply by default</w:t>
      </w:r>
    </w:p>
    <w:p>
      <w:pPr>
        <w:pStyle w:val="Compact"/>
        <w:numPr>
          <w:ilvl w:val="0"/>
          <w:numId w:val="1001"/>
        </w:numPr>
      </w:pPr>
      <w:r>
        <w:t xml:space="preserve">FSL's --wls weights by the measured signal, a scheme known to bias estimates</w:t>
      </w:r>
    </w:p>
    <w:p>
      <w:pPr>
        <w:pStyle w:val="Compact"/>
        <w:numPr>
          <w:ilvl w:val="0"/>
          <w:numId w:val="1001"/>
        </w:numPr>
      </w:pPr>
      <w:r>
        <w:t xml:space="preserve">In the phantom's anisotropic region it is the most biased, more so at lower SNR</w:t>
      </w:r>
    </w:p>
    <w:p>
      <w:pPr>
        <w:pStyle w:val="Compact"/>
        <w:numPr>
          <w:ilvl w:val="0"/>
          <w:numId w:val="1001"/>
        </w:numPr>
      </w:pPr>
      <w:r>
        <w:t xml:space="preserve">Reporting the estimator, not only the toolkit, is what makes a fit reproducible</w:t>
      </w:r>
    </w:p>
    <w:bookmarkEnd w:id="9"/>
    <w:sectPr>
      <w:footnotePr>
        <w:numRestart w:val="eachSect"/>
      </w:footnote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openxmlformats.org/wordprocessingml/2006/main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16.0000</AppVersion>
  <LinksUpToDate>false</LinksUpToDate>
  <Application>Microsoft Office Word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2026-09-17T13:06:06Z</dcterms:created>
  <dcterms:modified xsi:type="dcterms:W3CDTF">2026-09-17T13:06:06Z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