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gfg46l3px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Philosophical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Democratic Governance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democratic meeting work in practice?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parents disagree with their children’s votes?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handle decisions that might cause conflict between families?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Children’s Autonomy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encourage autonomy in children without creating chaos or disrespect?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role do adults play in guiding children while respecting their independence?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approach discipline or behavioral issues in shared spaces?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 and Freedom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“freedom within limits” look like at The Commons?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balance the need for structure with the value of play?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0vi48hgqr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Logistical Questions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Membership and Access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membership fee work?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limits on how often families can use the space?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a family can no longer afford the membership fee?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Supervision and Drop-Off Policies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“proxy guardianship” mean in practical terms?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plans to allow drop-offs in the future?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ensure safety and accountability if children roam the property?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Space and Resources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types of activities and resources are available for kids?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families contribute resources or request specific tools/books?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any rules about how the space and resources should be used?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dphkmu0hl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Conflict and Governance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Resolving Disputes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will conflicts between families or children be handled?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a family violates the membership agreement?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are amendments to community rules proposed and approved?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Decision-Making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voting work with younger children?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decisions reserved for adults only?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are major financial or structural changes decided?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3l05tx8r7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Concerns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Operations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opens/closes the space, or how is access controlled?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a family forgets to clean up or damages something?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families communicate day-to-day updates (Slack, bulletin boards, etc.)?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and Participation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families required to participate in meetings or events?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support families who may not feel aligned with all the philosophies?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if attendance at meetings is low—how do decisions get made?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lgd0ddwfb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Community and Social Dynamics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Inclusivity and Culture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handle families who have different values or approaches to education?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create a sense of belonging for everyone?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expect from families to maintain a positive culture?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Roles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are leadership roles like Chairperson or Secretary selected?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children take on leadership roles, or are they for adults only?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prevent a few voices from dominating discussions?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