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UTRBE V30 – Backtest &amp; Risk Evaluation Specification</w:t>
      </w:r>
    </w:p>
    <w:p>
      <w:r>
        <w:t>Generated: 2026-02-22 16:58 UTC</w:t>
      </w:r>
    </w:p>
    <w:p>
      <w:pPr>
        <w:pStyle w:val="Heading2"/>
      </w:pPr>
      <w:r>
        <w:t>Backtest Framework</w:t>
      </w:r>
    </w:p>
    <w:p>
      <w:r>
        <w:t>Rolling walk-forward training every 3 years.</w:t>
        <w:br/>
        <w:t>Out-of-sample evaluation mandatory.</w:t>
        <w:br/>
        <w:t>Separate evaluation for structural and shock events.</w:t>
      </w:r>
    </w:p>
    <w:p>
      <w:pPr>
        <w:pStyle w:val="Heading2"/>
      </w:pPr>
      <w:r>
        <w:t>Key Risk Metrics</w:t>
      </w:r>
    </w:p>
    <w:p>
      <w:r>
        <w:t>Max Drawdown</w:t>
        <w:br/>
        <w:t>Ulcer Index</w:t>
        <w:br/>
        <w:t>Sharpe Ratio</w:t>
        <w:br/>
        <w:t>Sortino Ratio</w:t>
        <w:br/>
        <w:t>Recovery Time</w:t>
        <w:br/>
        <w:t>Tail Risk Exposure</w:t>
      </w:r>
    </w:p>
    <w:p>
      <w:pPr>
        <w:pStyle w:val="Heading2"/>
      </w:pPr>
      <w:r>
        <w:t>Success Criteria</w:t>
      </w:r>
    </w:p>
    <w:p>
      <w:r>
        <w:t>≥40% reduction in max drawdown.</w:t>
        <w:br/>
        <w:t>&lt;2% reduction in CAGR.</w:t>
        <w:br/>
        <w:t>Worst-window AUC ≥0.60.</w:t>
      </w:r>
    </w:p>
    <w:p>
      <w:pPr>
        <w:pStyle w:val="Heading2"/>
      </w:pPr>
      <w:r>
        <w:t>Stress Testing Periods</w:t>
      </w:r>
    </w:p>
    <w:p>
      <w:r>
        <w:t>2008 GFC</w:t>
        <w:br/>
        <w:t>2018 Volmageddon</w:t>
        <w:br/>
        <w:t>2020 COVID</w:t>
        <w:br/>
        <w:t>2022 Tightening 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