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UTRBE V30 – Production Database Schema</w:t>
      </w:r>
    </w:p>
    <w:p>
      <w:r>
        <w:t>Generated: 2026-02-22 16:58 UTC</w:t>
      </w:r>
    </w:p>
    <w:p>
      <w:pPr>
        <w:pStyle w:val="Heading2"/>
      </w:pPr>
      <w:r>
        <w:t>Core Tables</w:t>
      </w:r>
    </w:p>
    <w:p>
      <w:r>
        <w:t>market_data(date, spx, vix, hy_oas, breadth_metrics...)</w:t>
        <w:br/>
        <w:t>structural_features(date, feature_vector...)</w:t>
        <w:br/>
        <w:t>shock_features(date, feature_vector...)</w:t>
        <w:br/>
        <w:t>tactical_features(date, feature_vector...)</w:t>
        <w:br/>
        <w:t>structural_prob(date, probability)</w:t>
        <w:br/>
        <w:t>shock_prob(date, probability)</w:t>
        <w:br/>
        <w:t>tactical_level(date, level)</w:t>
        <w:br/>
        <w:t>allocation_output(date, base_alloc, final_alloc)</w:t>
      </w:r>
    </w:p>
    <w:p>
      <w:pPr>
        <w:pStyle w:val="Heading2"/>
      </w:pPr>
      <w:r>
        <w:t>Data Flow</w:t>
      </w:r>
    </w:p>
    <w:p>
      <w:r>
        <w:t>Daily ingestion → Feature computation → Model inference → Allocation computation → Execution log.</w:t>
      </w:r>
    </w:p>
    <w:p>
      <w:pPr>
        <w:pStyle w:val="Heading2"/>
      </w:pPr>
      <w:r>
        <w:t>Retention Policy</w:t>
      </w:r>
    </w:p>
    <w:p>
      <w:r>
        <w:t>Raw market data: permanent.</w:t>
        <w:br/>
        <w:t>Feature tables: versioned.</w:t>
        <w:br/>
        <w:t>Model outputs: immutable daily snapshots.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