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UTRBE V30 – Mathematical &amp; Calibration Specification</w:t>
      </w:r>
    </w:p>
    <w:p>
      <w:r>
        <w:t>Generated: 2026-02-22 16:58 UTC</w:t>
      </w:r>
    </w:p>
    <w:p>
      <w:pPr>
        <w:pStyle w:val="Heading2"/>
      </w:pPr>
      <w:r>
        <w:t>Structural Probability Model</w:t>
      </w:r>
    </w:p>
    <w:p>
      <w:r>
        <w:t>Logistic model:</w:t>
        <w:br/>
        <w:t>P_struct = 1 / (1 + exp(-(β0 + β1X1 + ... + βnXn)))</w:t>
        <w:br/>
        <w:br/>
        <w:t>Target: 10% drawdown within 30 trading days with ≥15-day persistence.</w:t>
        <w:br/>
        <w:t>Calibration: Platt scaling or Isotonic regression.</w:t>
        <w:br/>
        <w:t>Decade stability test required.</w:t>
      </w:r>
    </w:p>
    <w:p>
      <w:pPr>
        <w:pStyle w:val="Heading2"/>
      </w:pPr>
      <w:r>
        <w:t>Shock Probability Model</w:t>
      </w:r>
    </w:p>
    <w:p>
      <w:r>
        <w:t>Non-linear classifier (GBDT preferred).</w:t>
        <w:br/>
        <w:t>Target: 7% drop within 5 days with ≥60% move in 2 days.</w:t>
        <w:br/>
        <w:t>Emphasis on volatility compression and gamma exposure variables.</w:t>
      </w:r>
    </w:p>
    <w:p>
      <w:pPr>
        <w:pStyle w:val="Heading2"/>
      </w:pPr>
      <w:r>
        <w:t>Probability to Allocation Mapping</w:t>
      </w:r>
    </w:p>
    <w:p>
      <w:r>
        <w:t>Base Allocation = Piecewise mapping of P_struct.</w:t>
        <w:br/>
        <w:t>Shock override reduces allocation multiplicatively.</w:t>
        <w:br/>
        <w:t>Tactical engine applies final multiplier.</w:t>
        <w:br/>
        <w:t>Final Allocation = Base × ShockModifier × TacticalMultiplier.</w:t>
      </w:r>
    </w:p>
    <w:p>
      <w:pPr>
        <w:pStyle w:val="Heading2"/>
      </w:pPr>
      <w:r>
        <w:t>Evaluation Metrics</w:t>
      </w:r>
    </w:p>
    <w:p>
      <w:r>
        <w:t>AUC_structural</w:t>
        <w:br/>
        <w:t>AUC_shock</w:t>
        <w:br/>
        <w:t>Worst-window AUC</w:t>
        <w:br/>
        <w:t>Brier Score</w:t>
        <w:br/>
        <w:t>Drawdown Reduction</w:t>
        <w:br/>
        <w:t>CAGR Impact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