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UnifiedRisk V31 Architecture Redesign</w:t>
      </w:r>
    </w:p>
    <w:p>
      <w:r>
        <w:t>Module: Phase-D Risk Engine Reconstruction</w:t>
      </w:r>
    </w:p>
    <w:p>
      <w:r>
        <w:t>Version: V31 Proposal</w:t>
      </w:r>
    </w:p>
    <w:p>
      <w:r>
        <w:t>Date: 2026-02-22</w:t>
      </w:r>
    </w:p>
    <w:p>
      <w:pPr>
        <w:pStyle w:val="Heading2"/>
      </w:pPr>
      <w:r>
        <w:t>1. Redesign Objective</w:t>
      </w:r>
    </w:p>
    <w:p>
      <w:r>
        <w:t>V30 demonstrated strong drawdown reduction potential but at unacceptable CAGR cost. The root issue is structural signal precision rather than parameter tuning. V31 shifts Phase-D from volatility-based risk compression to structural regime-aware decision logic.</w:t>
      </w:r>
    </w:p>
    <w:p>
      <w:pPr>
        <w:pStyle w:val="Heading2"/>
      </w:pPr>
      <w:r>
        <w:t>2. Core Design Principles</w:t>
      </w:r>
    </w:p>
    <w:p>
      <w:r>
        <w:t>• Separate Structural Damage from Volatility Noise</w:t>
      </w:r>
    </w:p>
    <w:p>
      <w:r>
        <w:t>• Introduce Regime Context Layer before risk scaling</w:t>
      </w:r>
    </w:p>
    <w:p>
      <w:r>
        <w:t>• Replace Linear Allocation Compression with Step Allocation States</w:t>
      </w:r>
    </w:p>
    <w:p>
      <w:r>
        <w:t>• Optimize via Efficiency Score instead of dual hard thresholds</w:t>
      </w:r>
    </w:p>
    <w:p>
      <w:pPr>
        <w:pStyle w:val="Heading2"/>
      </w:pPr>
      <w:r>
        <w:t>3. V31 Phase-D Architecture Overview</w:t>
      </w:r>
    </w:p>
    <w:p>
      <w:r>
        <w:t>Phase-D is reconstructed into five layers:</w:t>
      </w:r>
    </w:p>
    <w:p>
      <w:r>
        <w:t>Layer 1 – Structural Damage Detection</w:t>
        <w:br/>
        <w:t xml:space="preserve">  - 50D New Lows Ratio</w:t>
        <w:br/>
        <w:t xml:space="preserve">  - Advance/Decline Extreme Spread</w:t>
        <w:br/>
        <w:t xml:space="preserve">  - Sector Synchronous Breakdown Ratio</w:t>
        <w:br/>
        <w:t xml:space="preserve">  - High Beta Leadership Failure Rate</w:t>
        <w:br/>
        <w:br/>
        <w:t>Layer 2 – Shock Intensity Layer</w:t>
        <w:br/>
        <w:t xml:space="preserve">  - VIX Acceleration</w:t>
        <w:br/>
        <w:t xml:space="preserve">  - Credit Spread Expansion</w:t>
        <w:br/>
        <w:t xml:space="preserve">  - Treasury Yield Shock</w:t>
        <w:br/>
        <w:br/>
        <w:t>Layer 3 – Regime Context Filter</w:t>
        <w:br/>
        <w:t xml:space="preserve">  - 200D Trend Direction</w:t>
        <w:br/>
        <w:t xml:space="preserve">  - Breadth Health Score</w:t>
        <w:br/>
        <w:t xml:space="preserve">  - Volatility Regime Classification</w:t>
        <w:br/>
        <w:br/>
        <w:t>Layer 4 – Composite Risk State Engine</w:t>
        <w:br/>
        <w:t xml:space="preserve">  - Risk State = f(Structural Damage, Shock, Regime Multiplier)</w:t>
        <w:br/>
        <w:t xml:space="preserve">  - Regime Multiplier dampens signals in strong uptrends</w:t>
        <w:br/>
        <w:br/>
        <w:t>Layer 5 – Allocation State Mapping (Step Function)</w:t>
        <w:br/>
        <w:t xml:space="preserve">  - LOW      → 100% allocation</w:t>
        <w:br/>
        <w:t xml:space="preserve">  - MEDIUM   → 85% allocation</w:t>
        <w:br/>
        <w:t xml:space="preserve">  - HIGH     → 60% allocation</w:t>
        <w:br/>
        <w:t xml:space="preserve">  - CRISIS   → 20% allocation</w:t>
      </w:r>
    </w:p>
    <w:p>
      <w:pPr>
        <w:pStyle w:val="Heading2"/>
      </w:pPr>
      <w:r>
        <w:t>4. Structural Damage Scoring Logic</w:t>
      </w:r>
    </w:p>
    <w:p>
      <w:r>
        <w:t>Structural Damage Score (SDS) is the primary gating mechanism.</w:t>
        <w:br/>
        <w:br/>
        <w:t>If SDS &lt; threshold_1 → No major de-risking allowed.</w:t>
        <w:br/>
        <w:t>If SDS ≥ threshold_2 → High-risk state allowed.</w:t>
        <w:br/>
        <w:br/>
        <w:t>This prevents volatility-only triggers from collapsing allocation in healthy bull trends.</w:t>
      </w:r>
    </w:p>
    <w:p>
      <w:pPr>
        <w:pStyle w:val="Heading2"/>
      </w:pPr>
      <w:r>
        <w:t>5. Regime Multiplier Logic</w:t>
      </w:r>
    </w:p>
    <w:p>
      <w:r>
        <w:t>If Long-Term Trend = Bullish:</w:t>
        <w:br/>
        <w:t xml:space="preserve">  Composite Risk × 0.6</w:t>
        <w:br/>
        <w:br/>
        <w:t>If Neutral:</w:t>
        <w:br/>
        <w:t xml:space="preserve">  Composite Risk × 1.0</w:t>
        <w:br/>
        <w:br/>
        <w:t>If Bearish:</w:t>
        <w:br/>
        <w:t xml:space="preserve">  Composite Risk × 1.5</w:t>
        <w:br/>
        <w:br/>
        <w:t>Purpose: Preserve CAGR in bull markets, amplify protection in structural downtrends.</w:t>
      </w:r>
    </w:p>
    <w:p>
      <w:pPr>
        <w:pStyle w:val="Heading2"/>
      </w:pPr>
      <w:r>
        <w:t>6. Allocation Transition Rules</w:t>
      </w:r>
    </w:p>
    <w:p>
      <w:r>
        <w:t>State changes require confirmation persistence (e.g., 3-day validation).</w:t>
        <w:br/>
        <w:t>De-risking may trigger immediately on CRISIS state.</w:t>
        <w:br/>
        <w:t>Re-risking requires structural recovery confirmation.</w:t>
      </w:r>
    </w:p>
    <w:p>
      <w:pPr>
        <w:pStyle w:val="Heading2"/>
      </w:pPr>
      <w:r>
        <w:t>7. Optimization Framework Change</w:t>
      </w:r>
    </w:p>
    <w:p>
      <w:r>
        <w:t>Replace dual hard thresholds with efficiency objective:</w:t>
        <w:br/>
        <w:br/>
        <w:t>Efficiency Score = DD_Reduction − 0.5 × CAGR_Impact</w:t>
        <w:br/>
        <w:br/>
        <w:t>Optimization target is maximum efficiency, not binary constraint satisfaction.</w:t>
      </w:r>
    </w:p>
    <w:p>
      <w:pPr>
        <w:pStyle w:val="Heading2"/>
      </w:pPr>
      <w:r>
        <w:t>8. Expected Behavioral Shift (V31 vs V30)</w:t>
      </w:r>
    </w:p>
    <w:p>
      <w:r>
        <w:t>• Reduced false positives during trend rallies</w:t>
        <w:br/>
        <w:t>• Larger allocation cuts only during structural breakdown</w:t>
        <w:br/>
        <w:t>• Lower CAGR bleed in sideways volatility</w:t>
        <w:br/>
        <w:t>• Higher precision in major drawdown avoidance</w:t>
      </w:r>
    </w:p>
    <w:p>
      <w:pPr>
        <w:pStyle w:val="Heading2"/>
      </w:pPr>
      <w:r>
        <w:t>9. Implementation Roadmap</w:t>
      </w:r>
    </w:p>
    <w:p>
      <w:r>
        <w:t>Phase 1: Implement Structural Damage Module</w:t>
        <w:br/>
        <w:t>Phase 2: Add Regime Context Layer</w:t>
        <w:br/>
        <w:t>Phase 3: Replace Linear Compression with Step Allocation</w:t>
        <w:br/>
        <w:t>Phase 4: Redesign Backtest Optimization Objective</w:t>
        <w:br/>
        <w:t>Phase 5: Walk-forward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