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PPP Concession Agreement Analysis</w:t>
        <w:br/>
        <w:t>Adani  Mundra Port agreement for operations</w:t>
      </w:r>
    </w:p>
    <w:p>
      <w:pPr>
        <w:pStyle w:val="Heading1"/>
      </w:pPr>
      <w:r>
        <w:t>Context &amp; Objective</w:t>
      </w:r>
    </w:p>
    <w:p>
      <w:r>
        <w:t>**SECTION: Context &amp; Objective**</w:t>
      </w:r>
    </w:p>
    <w:p>
      <w:r>
        <w:t>**LEGAL POSITION:**</w:t>
      </w:r>
    </w:p>
    <w:p>
      <w:pPr>
        <w:pStyle w:val="ListBullet"/>
      </w:pPr>
      <w:r>
        <w:t>The contract explicitly allows the Concessionaire to operate container trains on the Indian Railway network for both Export and Import Traffic as well as Domestic Traffic, subject to terms and conditions (Recital A).</w:t>
      </w:r>
    </w:p>
    <w:p>
      <w:pPr>
        <w:pStyle w:val="ListBullet"/>
      </w:pPr>
      <w:r>
        <w:t>The contract mandates that the Concessionaire must comply with entry conditions, including legal status, experience, financial capacity, and access to rail facilities (Recital B).</w:t>
      </w:r>
    </w:p>
    <w:p>
      <w:pPr>
        <w:pStyle w:val="ListBullet"/>
      </w:pPr>
      <w:r>
        <w:t>The contract restricts the Concessionaire from commencing operations until a Concession Agreement is entered into with the Railway Administration (Recital E).</w:t>
      </w:r>
    </w:p>
    <w:p>
      <w:pPr>
        <w:pStyle w:val="ListBullet"/>
      </w:pPr>
      <w:r>
        <w:t>The contract mandates the payment of a registration fee by the Concessionaire as a precondition for the right to operate (Recital C).</w:t>
      </w:r>
    </w:p>
    <w:p>
      <w:r>
        <w:t>**ECONOMIC IMPLICATION:**</w:t>
      </w:r>
    </w:p>
    <w:p>
      <w:pPr>
        <w:pStyle w:val="ListBullet"/>
      </w:pPr>
      <w:r>
        <w:t>The requirement for a registration fee and compliance with entry conditions implies a significant initial financial commitment from the Concessionaire, which could impact its cash flow and financial planning.</w:t>
      </w:r>
    </w:p>
    <w:p>
      <w:pPr>
        <w:pStyle w:val="ListBullet"/>
      </w:pPr>
      <w:r>
        <w:t>The non-exclusivity of the concession suggests potential competition, which may affect the Concessionaire's market share and pricing strategy.</w:t>
      </w:r>
    </w:p>
    <w:p>
      <w:r>
        <w:t>**BANKABILITY IMPACT:**</w:t>
      </w:r>
    </w:p>
    <w:p>
      <w:pPr>
        <w:pStyle w:val="ListBullet"/>
      </w:pPr>
      <w:r>
        <w:t>The clarity in the contract regarding the rights and obligations of the Concessionaire and the Railway Administration enhances enforceability, which is favorable from a lender's perspective.</w:t>
      </w:r>
    </w:p>
    <w:p>
      <w:pPr>
        <w:pStyle w:val="ListBullet"/>
      </w:pPr>
      <w:r>
        <w:t>The explicit mention of entry conditions and financial commitments provides a clear framework for risk assessment by investors and lenders.</w:t>
      </w:r>
    </w:p>
    <w:p>
      <w:pPr>
        <w:pStyle w:val="ListBullet"/>
      </w:pPr>
      <w:r>
        <w:t>The non-exclusivity clause may introduce competitive risk, which could be a concern for lenders assessing the project's revenue potential.</w:t>
      </w:r>
    </w:p>
    <w:p>
      <w:r>
        <w:t>**CLAUSE EVIDENCE:**</w:t>
      </w:r>
    </w:p>
    <w:p>
      <w:pPr>
        <w:pStyle w:val="ListBullet"/>
      </w:pPr>
      <w:r>
        <w:t>"(A) With a view to increasing railway's share of container traffic and introducing competition in railway container transport services in India, Ministry of Railways, Government of India decided to grant eligible parties the right to require the Railway Administration to haul their Container trains on Indian Railway network for movement of both Export and Import Traffic (as defined hereafter) as well as Domestic Traffic (as defined hereafter), subject to various terms and conditions."</w:t>
      </w:r>
    </w:p>
    <w:p>
      <w:pPr>
        <w:pStyle w:val="ListBullet"/>
      </w:pPr>
      <w:r>
        <w:t>"(B) In pursuance of this decision, Ministry of Railways invited proposals from the interested parties, setting out therein entry conditions including but not limited to requirements relating to the interested party's legal status, experience, financial capacity and access to rail facilities."</w:t>
      </w:r>
    </w:p>
    <w:p>
      <w:pPr>
        <w:pStyle w:val="ListBullet"/>
      </w:pPr>
      <w:r>
        <w:t>"(C) As part of the invitation for proposals, the interested parties were required to deposit, along with their written request, a registration fee (as set out by Ministry of Railways pursuant to its letter no 2002/TT-111/15/39 dated 09.01.2006) prescribed for different categories of routes on which the interested party/parties intends to run its Container trains."</w:t>
      </w:r>
    </w:p>
    <w:p>
      <w:pPr>
        <w:pStyle w:val="ListBullet"/>
      </w:pPr>
      <w:r>
        <w:t>"(E) Pursuant to evaluation of the written request and the supporting documents received from the Concessionaire in relation thereto, Ministry of Railways accepted the request of the Concessionaire and vide letter no. 2002/TT-III/15/39 dated 21.2.2006 granted to the Concessionaire its 'In Principle' approval (hereinafter called 'IPA') to offer its Container trains for movement on Category 1, subject to the Concessionaire entering into this Concession Agreement with Railway Administration prior to commencement of any Container train operations."</w:t>
      </w:r>
    </w:p>
    <w:p>
      <w:r>
        <w:t>**EVIDENCE_STRENGTH: STRONG**</w:t>
      </w:r>
    </w:p>
    <w:p>
      <w:pPr>
        <w:pStyle w:val="Heading2"/>
      </w:pPr>
      <w:r>
        <w:t>Confidence Assessment</w:t>
      </w:r>
    </w:p>
    <w:p>
      <w:r>
        <w:rPr>
          <w:b/>
        </w:rPr>
        <w:t>Overall Confidence Level: HIGH</w:t>
      </w:r>
    </w:p>
    <w:p>
      <w:r>
        <w:br w:type="page"/>
      </w:r>
    </w:p>
    <w:p>
      <w:pPr>
        <w:pStyle w:val="Heading1"/>
      </w:pPr>
      <w:r>
        <w:t>Scope of Concession &amp; Rights Granted</w:t>
      </w:r>
    </w:p>
    <w:p>
      <w:pPr>
        <w:pStyle w:val="Heading2"/>
      </w:pPr>
      <w:r>
        <w:t>Legal Position</w:t>
      </w:r>
    </w:p>
    <w:p>
      <w:pPr>
        <w:pStyle w:val="ListBullet"/>
      </w:pPr>
      <w:r>
        <w:t>The contract explicitly grants the Concessionaire a non-exclusive right to require the Railway Administration to haul its trains carrying Exim and Domestic Traffic on Category 1 routes (Clause 3.1.1).</w:t>
      </w:r>
    </w:p>
    <w:p>
      <w:pPr>
        <w:pStyle w:val="ListBullet"/>
      </w:pPr>
      <w:r>
        <w:t>The Concessionaire is explicitly restricted from requiring the Railway Administration to haul its trains until it establishes access to Rail Terminals and acquires the minimum number of Wagons, including brake vans, to form a Block Rake (Clause 3.1.2).</w:t>
      </w:r>
    </w:p>
    <w:p>
      <w:pPr>
        <w:pStyle w:val="ListBullet"/>
      </w:pPr>
      <w:r>
        <w:t>The Concessionaire is explicitly granted the right to collect, store, and load goods onto Wagons from third parties, charge and collect fees from consigners, access and develop Rail Terminals, and procure and own/lease Wagons and containers (Clauses 3.1.3.1 to 3.1.3.4).</w:t>
      </w:r>
    </w:p>
    <w:p>
      <w:pPr>
        <w:pStyle w:val="ListBullet"/>
      </w:pPr>
      <w:r>
        <w:t>The Concessionaire may extend operations to new routes/categories with prior written consent from the Railway Administration and by paying the prescribed Registration Fee (Clause 3.2).</w:t>
      </w:r>
    </w:p>
    <w:p>
      <w:pPr>
        <w:pStyle w:val="ListBullet"/>
      </w:pPr>
      <w:r>
        <w:t>The concession is explicitly stated to be non-exclusive, allowing the Railway Administration to grant similar rights to third parties under no more favorable terms (Clause 3.2.1).</w:t>
      </w:r>
    </w:p>
    <w:p>
      <w:pPr>
        <w:pStyle w:val="ListBullet"/>
      </w:pPr>
      <w:r>
        <w:t>The Railway Administration is explicitly allowed to specify certain commodities as notified commodities, which may be subject to different tariffs and conditions (Clause 3.3.2).</w:t>
      </w:r>
    </w:p>
    <w:p>
      <w:pPr>
        <w:pStyle w:val="ListBullet"/>
      </w:pPr>
      <w:r>
        <w:t>The Concessionaire is explicitly allowed to encumber its interest in favor of its Lenders, except for property leased/licensed by the Railway Administration (Clause 3.4.1).</w:t>
      </w:r>
    </w:p>
    <w:p>
      <w:pPr>
        <w:pStyle w:val="Heading2"/>
      </w:pPr>
      <w:r>
        <w:t>Economic Implication</w:t>
      </w:r>
    </w:p>
    <w:p>
      <w:pPr>
        <w:pStyle w:val="ListBullet"/>
      </w:pPr>
      <w:r>
        <w:t>The non-exclusive nature of the concession implies potential competition, which may affect the Concessionaire's market share and pricing power.</w:t>
      </w:r>
    </w:p>
    <w:p>
      <w:pPr>
        <w:pStyle w:val="ListBullet"/>
      </w:pPr>
      <w:r>
        <w:t>The ability to charge and collect fees from consigners provides a direct revenue stream for the Concessionaire.</w:t>
      </w:r>
    </w:p>
    <w:p>
      <w:pPr>
        <w:pStyle w:val="ListBullet"/>
      </w:pPr>
      <w:r>
        <w:t>The requirement to establish Rail Terminals and acquire Wagons before operations can commence implies significant initial capital investment.</w:t>
      </w:r>
    </w:p>
    <w:p>
      <w:pPr>
        <w:pStyle w:val="ListBullet"/>
      </w:pPr>
      <w:r>
        <w:t>The right to encumber assets provides financial flexibility for the Concessionaire to secure funding.</w:t>
      </w:r>
    </w:p>
    <w:p>
      <w:pPr>
        <w:pStyle w:val="Heading2"/>
      </w:pPr>
      <w:r>
        <w:t>Bankability Impact</w:t>
      </w:r>
    </w:p>
    <w:p>
      <w:pPr>
        <w:pStyle w:val="ListBullet"/>
      </w:pPr>
      <w:r>
        <w:t>The non-exclusive nature and the ability of the Railway Administration to grant similar rights to third parties may introduce competitive risks, potentially affecting revenue projections and investor confidence.</w:t>
      </w:r>
    </w:p>
    <w:p>
      <w:pPr>
        <w:pStyle w:val="ListBullet"/>
      </w:pPr>
      <w:r>
        <w:t>The explicit rights to charge fees and encumber assets enhance the Concessionaire's ability to generate revenue and secure financing, positively impacting bankability.</w:t>
      </w:r>
    </w:p>
    <w:p>
      <w:pPr>
        <w:pStyle w:val="ListBullet"/>
      </w:pPr>
      <w:r>
        <w:t>The requirement for prior consent to extend operations to new routes may introduce operational constraints, affecting scalability and attractiveness to investors.</w:t>
      </w:r>
    </w:p>
    <w:p>
      <w:pPr>
        <w:pStyle w:val="Heading2"/>
      </w:pPr>
      <w:r>
        <w:t>Clause Evidence</w:t>
      </w:r>
    </w:p>
    <w:p>
      <w:pPr>
        <w:pStyle w:val="ListBullet"/>
      </w:pPr>
      <w:r>
        <w:t>"Subject to the terms and conditions contained in this Agreement, the Railway Administration hereby grants to the Concessionaire, throughout the duration of this agreement, a non-exclusive right to require the Railway Administration to haul the Concessionaire's Trains carrying Exim Traffic and for Domestic Traffic on Category 1 routes..." (Clause 3.1.1)</w:t>
      </w:r>
    </w:p>
    <w:p>
      <w:pPr>
        <w:pStyle w:val="ListBullet"/>
      </w:pPr>
      <w:r>
        <w:t>"For the avoidance of doubt, it is hereby expressly clarified that the Concessionaire shall not have the right to require Railway Administration to haul any of the Concessionaire's Trains whatsoever pursuant to this Agreement, till such time as the Concessionaire establishes/ensures access to Rail Terminals and maintains the same in accordance with the provisions of Article 4.1 and acquires prescribed/laid down minimum number of Wagons including brake vans to form a Block Rake..." (Clause 3.1.2)</w:t>
      </w:r>
    </w:p>
    <w:p>
      <w:pPr>
        <w:pStyle w:val="ListBullet"/>
      </w:pPr>
      <w:r>
        <w:t>"The right to undertake the business of collecting, storing and loading ento Wagons, consignments of goods from any third party; The right to determine, charge, collect, retain and appropriate all the fees that it charges from the consigners; The right to obtain access to Rail Terminals and develop, own, operate and maintain Rail Terminals, including inland container depots; The right to procure and own/lease Wagons and containers." (Clauses 3.1.3.1 to 3.1.3.4)</w:t>
      </w:r>
    </w:p>
    <w:p>
      <w:pPr>
        <w:pStyle w:val="ListBullet"/>
      </w:pPr>
      <w:r>
        <w:t>"The Concessionaire may, with prior written consent of Railway Administration, add any or all other categories of routes for operation of its container trains by paying the prescribed Registration Fee or the differential thereof." (Clause 3.2)</w:t>
      </w:r>
    </w:p>
    <w:p>
      <w:pPr>
        <w:pStyle w:val="ListBullet"/>
      </w:pPr>
      <w:r>
        <w:t>"The Parties hereby expressly acknowledge and agree that the aforesaid Concession is on a non-exclusive basis and that Railway Administration expressly reserves the right to give to any third party, on terms and conditions no more favourable than those offered to the Concessionaire, a right similar to the Concession to require Railway Administration to haul such third party Container Trains on Category 1 routes." (Clause 3.2.1)</w:t>
      </w:r>
    </w:p>
    <w:p>
      <w:pPr>
        <w:pStyle w:val="ListBullet"/>
      </w:pPr>
      <w:r>
        <w:t>"Notwithstanding anything contained in Article 3.3.1 or elsewhere in this Agreement, the Central Government shall have the right to specify certain commodities, which ordinarily move in railway wagons in trainload as notified commodities, and such commodities may be subjected to different tariff and conditions for haulage." (Clause 3.3.2)</w:t>
      </w:r>
    </w:p>
    <w:p>
      <w:pPr>
        <w:pStyle w:val="ListBullet"/>
      </w:pPr>
      <w:r>
        <w:t>"The Parties hereby expressly acknowledge and agree that nothing in this Agreement shall prohibit or in any way preclude the ability or right of the Concessionaire to Encumber its interest in favour of its Lenders, any Rail Terminals owned by the Concessionaire or held by it on lease or licence, the Concessionaire's Wagons, this Agreement including but not limited to the Grant provided hereunder or any other asset owned by the Concessionaire and forming part of Its rolling stock, provided that no property which has been leased/licensed by Railway Administration to the Concessionaire shall be Encumbered by the Concessionaire at any time during the term of this Agreement." (Clause 3.4.1)</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Asset Ownership &amp; Control</w:t>
      </w:r>
    </w:p>
    <w:p>
      <w:pPr>
        <w:pStyle w:val="Heading2"/>
      </w:pPr>
      <w:r>
        <w:t>Legal Position</w:t>
      </w:r>
    </w:p>
    <w:p>
      <w:pPr>
        <w:pStyle w:val="ListBullet"/>
      </w:pPr>
      <w:r>
        <w:t>The contract explicitly allows the Concessionaire to procure and own/lease Wagons and containers (Clause 3.1.3.4).</w:t>
      </w:r>
    </w:p>
    <w:p>
      <w:pPr>
        <w:pStyle w:val="ListBullet"/>
      </w:pPr>
      <w:r>
        <w:t>The Concessionaire has the right to develop, own, operate, and maintain Rail Terminals, including inland container depots (Clause 3.1.3.3).</w:t>
      </w:r>
    </w:p>
    <w:p>
      <w:pPr>
        <w:pStyle w:val="ListBullet"/>
      </w:pPr>
      <w:r>
        <w:t>The Concessionaire is permitted to encumber its interest in its assets, including Rail Terminals and Wagons, in favor of its Lenders, except for property leased/licensed by Railway Administration (Clause 3.4.1).</w:t>
      </w:r>
    </w:p>
    <w:p>
      <w:pPr>
        <w:pStyle w:val="ListBullet"/>
      </w:pPr>
      <w:r>
        <w:t>The Railway Administration has the right to assume control and use the Concessionaire's Wagons during an Emergency, with compensation for costs but excluding return on investment (Clause 5.5.1, 5.5.2).</w:t>
      </w:r>
    </w:p>
    <w:p>
      <w:pPr>
        <w:pStyle w:val="Heading2"/>
      </w:pPr>
      <w:r>
        <w:t>Economic Implication</w:t>
      </w:r>
    </w:p>
    <w:p>
      <w:pPr>
        <w:pStyle w:val="ListBullet"/>
      </w:pPr>
      <w:r>
        <w:t>The Concessionaire's ability to own and lease assets provides flexibility in asset management and potential revenue generation through leasing.</w:t>
      </w:r>
    </w:p>
    <w:p>
      <w:pPr>
        <w:pStyle w:val="ListBullet"/>
      </w:pPr>
      <w:r>
        <w:t>The right to encumber assets enhances the Concessionaire's ability to secure financing, potentially lowering capital costs.</w:t>
      </w:r>
    </w:p>
    <w:p>
      <w:pPr>
        <w:pStyle w:val="ListBullet"/>
      </w:pPr>
      <w:r>
        <w:t>Emergency use provisions may impose operational risks and potential cost implications for the Concessionaire without compensation for lost revenue.</w:t>
      </w:r>
    </w:p>
    <w:p>
      <w:pPr>
        <w:pStyle w:val="Heading2"/>
      </w:pPr>
      <w:r>
        <w:t>Bankability Impact</w:t>
      </w:r>
    </w:p>
    <w:p>
      <w:pPr>
        <w:pStyle w:val="ListBullet"/>
      </w:pPr>
      <w:r>
        <w:t>The clear rights to own, lease, and encumber assets improve the project's attractiveness to lenders by providing security interests.</w:t>
      </w:r>
    </w:p>
    <w:p>
      <w:pPr>
        <w:pStyle w:val="ListBullet"/>
      </w:pPr>
      <w:r>
        <w:t>Emergency use provisions may introduce uncertainty, but compensation for costs mitigates some financial risks.</w:t>
      </w:r>
    </w:p>
    <w:p>
      <w:pPr>
        <w:pStyle w:val="ListBullet"/>
      </w:pPr>
      <w:r>
        <w:t>Overall, the asset ownership and control provisions are favorable for bankability, offering clarity and enforceability.</w:t>
      </w:r>
    </w:p>
    <w:p>
      <w:pPr>
        <w:pStyle w:val="Heading2"/>
      </w:pPr>
      <w:r>
        <w:t>Clause Evidence</w:t>
      </w:r>
    </w:p>
    <w:p>
      <w:pPr>
        <w:pStyle w:val="ListBullet"/>
      </w:pPr>
      <w:r>
        <w:t>"The right to procure and own/lease Wagons and containers." (Clause 3.1.3.4)</w:t>
      </w:r>
    </w:p>
    <w:p>
      <w:pPr>
        <w:pStyle w:val="ListBullet"/>
      </w:pPr>
      <w:r>
        <w:t>"The right to...develop, own, operate and maintain Rail Terminals, including inland container depots." (Clause 3.1.3.3)</w:t>
      </w:r>
    </w:p>
    <w:p>
      <w:pPr>
        <w:pStyle w:val="ListBullet"/>
      </w:pPr>
      <w:r>
        <w:t>"Nothing in this Agreement shall prohibit...the Concessionaire to Encumber its interest...provided that no property which has been leased/licensed by Railway Administration...shall be Encumbered." (Clause 3.4.1)</w:t>
      </w:r>
    </w:p>
    <w:p>
      <w:pPr>
        <w:pStyle w:val="ListBullet"/>
      </w:pPr>
      <w:r>
        <w:t>"Railway Administration...shall have the right, to temporarily...assume control and make use of the Wagons of the Concessionaire...Emergency Use." (Clause 5.5.1)</w:t>
      </w:r>
    </w:p>
    <w:p>
      <w:pPr>
        <w:pStyle w:val="ListBullet"/>
      </w:pPr>
      <w:r>
        <w:t>"Railway Administration shall pay...reasonable rent/charge to cover the cost of provisions, maintenance and operation of the Wagon but not including the Concessionaire's return on such investment." (Clause 5.5.2)</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Regulatory &amp; Operational Compliance</w:t>
      </w:r>
    </w:p>
    <w:p>
      <w:pPr>
        <w:pStyle w:val="Heading2"/>
      </w:pPr>
      <w:r>
        <w:t>Legal Position</w:t>
      </w:r>
    </w:p>
    <w:p>
      <w:pPr>
        <w:pStyle w:val="ListBullet"/>
      </w:pPr>
      <w:r>
        <w:t>The contract explicitly mandates the Concessionaire to comply with all Applicable Laws and Applicable Permits as per Article 16.2.1(a).</w:t>
      </w:r>
    </w:p>
    <w:p>
      <w:pPr>
        <w:pStyle w:val="ListBullet"/>
      </w:pPr>
      <w:r>
        <w:t>The Concessionaire is required to maintain accurate, up-to-date, and complete records relating to its Container train operations as per Article 8.1(xiv).</w:t>
      </w:r>
    </w:p>
    <w:p>
      <w:pPr>
        <w:pStyle w:val="ListBullet"/>
      </w:pPr>
      <w:r>
        <w:t>The Concessionaire must ensure that its operations conform to the maintenance standards specified by the Railway Administration in accordance with Good Industry Practice, as per Article 5.7.1.</w:t>
      </w:r>
    </w:p>
    <w:p>
      <w:pPr>
        <w:pStyle w:val="ListBullet"/>
      </w:pPr>
      <w:r>
        <w:t>The Concessionaire is obligated to allow Railway Administration representatives to inspect documents related to container train operations, as per Article 8.1(xvi).</w:t>
      </w:r>
    </w:p>
    <w:p>
      <w:pPr>
        <w:pStyle w:val="ListBullet"/>
      </w:pPr>
      <w:r>
        <w:t>The contract is silent on specific penalties or consequences for non-compliance with regulatory and operational requirements.</w:t>
      </w:r>
    </w:p>
    <w:p>
      <w:pPr>
        <w:pStyle w:val="Heading2"/>
      </w:pPr>
      <w:r>
        <w:t>Economic Implication</w:t>
      </w:r>
    </w:p>
    <w:p>
      <w:pPr>
        <w:pStyle w:val="ListBullet"/>
      </w:pPr>
      <w:r>
        <w:t>Compliance with all Applicable Laws and Permits ensures the Concessionaire avoids legal penalties, which could otherwise increase operational costs.</w:t>
      </w:r>
    </w:p>
    <w:p>
      <w:pPr>
        <w:pStyle w:val="ListBullet"/>
      </w:pPr>
      <w:r>
        <w:t>Maintaining accurate records and allowing inspections may incur administrative costs but ensures transparency and smooth operations.</w:t>
      </w:r>
    </w:p>
    <w:p>
      <w:pPr>
        <w:pStyle w:val="ListBullet"/>
      </w:pPr>
      <w:r>
        <w:t>Adhering to maintenance standards may require investment in infrastructure and equipment, impacting the Concessionaire's capital expenditure.</w:t>
      </w:r>
    </w:p>
    <w:p>
      <w:pPr>
        <w:pStyle w:val="Heading2"/>
      </w:pPr>
      <w:r>
        <w:t>Bankability Impact</w:t>
      </w:r>
    </w:p>
    <w:p>
      <w:pPr>
        <w:pStyle w:val="ListBullet"/>
      </w:pPr>
      <w:r>
        <w:t>From a lender and investor perspective, the clarity in compliance requirements enhances the enforceability of the contract, reducing regulatory risk.</w:t>
      </w:r>
    </w:p>
    <w:p>
      <w:pPr>
        <w:pStyle w:val="ListBullet"/>
      </w:pPr>
      <w:r>
        <w:t>The absence of explicit penalties for non-compliance may be seen as a risk, potentially affecting the perceived reliability of revenue streams.</w:t>
      </w:r>
    </w:p>
    <w:p>
      <w:pPr>
        <w:pStyle w:val="ListBullet"/>
      </w:pPr>
      <w:r>
        <w:t>The requirement for adherence to Good Industry Practice and maintenance standards may assure lenders of the operational integrity of the Concessionaire, positively impacting bankability.</w:t>
      </w:r>
    </w:p>
    <w:p>
      <w:pPr>
        <w:pStyle w:val="Heading2"/>
      </w:pPr>
      <w:r>
        <w:t>Clause Evidence</w:t>
      </w:r>
    </w:p>
    <w:p>
      <w:pPr>
        <w:pStyle w:val="ListBullet"/>
      </w:pPr>
      <w:r>
        <w:t>"The Concessionaire shall fully indemnify, hold harmless and defend Railway Administration... failure of the Concessionaire to comply with Applicable Laws and Applicable Permits;" (Article 16.2.1(a))</w:t>
      </w:r>
    </w:p>
    <w:p>
      <w:pPr>
        <w:pStyle w:val="ListBullet"/>
      </w:pPr>
      <w:r>
        <w:t>"Maintain accurate, up-to-date and complete records relating to Concessionaire's Container train operations." (Article 8.1(xiv))</w:t>
      </w:r>
    </w:p>
    <w:p>
      <w:pPr>
        <w:pStyle w:val="ListBullet"/>
      </w:pPr>
      <w:r>
        <w:t>"The Concessionaire shall at all times conform to the maintenance standards specified by the Railway Administration in accordance with Good Industry Practice..." (Article 5.7.1)</w:t>
      </w:r>
    </w:p>
    <w:p>
      <w:pPr>
        <w:pStyle w:val="ListBullet"/>
      </w:pPr>
      <w:r>
        <w:t>"Allow, any time and from time to time, representatives of Railway Administration to enter upon its premises... to inspect any and all documents pertaining to any container train related operations..." (Article 8.1(xvi))</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Concession Period &amp; Extension</w:t>
      </w:r>
    </w:p>
    <w:p>
      <w:r>
        <w:t>I'm sorry, but the provided text does not contain any information regarding the "Concession Period &amp; Extension" section of the concession agreement. Please provide the relevant section or text for analysis.</w:t>
      </w:r>
    </w:p>
    <w:p>
      <w:pPr>
        <w:pStyle w:val="Heading2"/>
      </w:pPr>
      <w:r>
        <w:t>Confidence Assessment</w:t>
      </w:r>
    </w:p>
    <w:p>
      <w:r>
        <w:rPr>
          <w:b/>
        </w:rPr>
        <w:t>Overall Confidence Level: UNKNOWN</w:t>
      </w:r>
    </w:p>
    <w:p>
      <w:r>
        <w:br w:type="page"/>
      </w:r>
    </w:p>
    <w:p>
      <w:pPr>
        <w:pStyle w:val="Heading1"/>
      </w:pPr>
      <w:r>
        <w:t>Tariff &amp; Revenue Flexibility</w:t>
      </w:r>
    </w:p>
    <w:p>
      <w:r>
        <w:t>I'm sorry, but the provided document excerpts do not contain any information related to the section "Tariff &amp; Revenue Flexibility." Therefore, I am unable to perform the analysis as requested. If you have access to the specific section or any other relevant parts of the concession agreement, please provide them, and I will be happy to assist with the analysis.</w:t>
      </w:r>
    </w:p>
    <w:p>
      <w:pPr>
        <w:pStyle w:val="Heading2"/>
      </w:pPr>
      <w:r>
        <w:t>Confidence Assessment</w:t>
      </w:r>
    </w:p>
    <w:p>
      <w:r>
        <w:rPr>
          <w:b/>
        </w:rPr>
        <w:t>Overall Confidence Level: UNKNOWN</w:t>
      </w:r>
    </w:p>
    <w:p>
      <w:r>
        <w:br w:type="page"/>
      </w:r>
    </w:p>
    <w:p>
      <w:pPr>
        <w:pStyle w:val="Heading1"/>
      </w:pPr>
      <w:r>
        <w:t>Demand &amp; Traffic Risk Allocation</w:t>
      </w:r>
    </w:p>
    <w:p>
      <w:pPr>
        <w:pStyle w:val="Heading2"/>
      </w:pPr>
      <w:r>
        <w:t>Legal Position</w:t>
      </w:r>
    </w:p>
    <w:p>
      <w:pPr>
        <w:pStyle w:val="ListBullet"/>
      </w:pPr>
      <w:r>
        <w:t>The contract is silent on explicit clauses directly addressing the allocation of demand and traffic risk between the parties. There are no specific provisions that outline how demand fluctuations or traffic risks are to be managed or allocated between the Railway Administration and the Concessionaire.</w:t>
      </w:r>
    </w:p>
    <w:p>
      <w:pPr>
        <w:pStyle w:val="Heading2"/>
      </w:pPr>
      <w:r>
        <w:t>Economic Implication</w:t>
      </w:r>
    </w:p>
    <w:p>
      <w:pPr>
        <w:pStyle w:val="ListBullet"/>
      </w:pPr>
      <w:r>
        <w:t>Due to the absence of explicit clauses on demand and traffic risk allocation, the economic implications are unclear. The Concessionaire may face uncertainty regarding how fluctuations in demand or changes in traffic patterns could impact their operations and financial obligations under the agreement.</w:t>
      </w:r>
    </w:p>
    <w:p>
      <w:pPr>
        <w:pStyle w:val="Heading2"/>
      </w:pPr>
      <w:r>
        <w:t>Bankability Impact</w:t>
      </w:r>
    </w:p>
    <w:p>
      <w:pPr>
        <w:pStyle w:val="ListBullet"/>
      </w:pPr>
      <w:r>
        <w:t>From a lender and investor perspective, the absence of clear risk allocation for demand and traffic could be seen as a risk factor. This lack of clarity may affect the bankability of the project, as financiers typically prefer well-defined risk allocation to assess potential impacts on revenue streams and financial stability.</w:t>
      </w:r>
    </w:p>
    <w:p>
      <w:pPr>
        <w:pStyle w:val="Heading2"/>
      </w:pPr>
      <w:r>
        <w:t>Clause Evidence</w:t>
      </w:r>
    </w:p>
    <w:p>
      <w:pPr>
        <w:pStyle w:val="ListBullet"/>
      </w:pPr>
      <w:r>
        <w:t>The document does not contain specific clauses addressing demand and traffic risk allocation.</w:t>
      </w:r>
    </w:p>
    <w:p>
      <w:pPr>
        <w:pStyle w:val="Heading2"/>
      </w:pPr>
      <w:r>
        <w:t>Evidence Strength</w:t>
      </w:r>
    </w:p>
    <w:p>
      <w:r>
        <w:rPr>
          <w:b/>
        </w:rPr>
        <w:t>NONE</w:t>
      </w:r>
    </w:p>
    <w:p>
      <w:pPr>
        <w:pStyle w:val="Heading2"/>
      </w:pPr>
      <w:r>
        <w:t>Confidence Assessment</w:t>
      </w:r>
    </w:p>
    <w:p>
      <w:r>
        <w:rPr>
          <w:b/>
        </w:rPr>
        <w:t>Overall Confidence Level: LOW</w:t>
      </w:r>
    </w:p>
    <w:p>
      <w:r>
        <w:br w:type="page"/>
      </w:r>
    </w:p>
    <w:p>
      <w:pPr>
        <w:pStyle w:val="Heading1"/>
      </w:pPr>
      <w:r>
        <w:t>Change in Law &amp; Policy Risk</w:t>
      </w:r>
    </w:p>
    <w:p>
      <w:pPr>
        <w:pStyle w:val="Heading2"/>
      </w:pPr>
      <w:r>
        <w:t>Legal Position</w:t>
      </w:r>
    </w:p>
    <w:p>
      <w:pPr>
        <w:pStyle w:val="ListBullet"/>
      </w:pPr>
      <w:r>
        <w:t>The contract explicitly defines "Change in Law" as the enactment of new Indian law, repeal, modification, or re-enactment of existing Indian law, commencement of any Indian law not in effect until the date of application, or a change in interpretation or application of any Indian law by a final judgment of a court (Clause 1.1.1, "Change in Law").</w:t>
      </w:r>
    </w:p>
    <w:p>
      <w:pPr>
        <w:pStyle w:val="ListBullet"/>
      </w:pPr>
      <w:r>
        <w:t>It explicitly excludes changes in tax or tax-related laws, including changes in tax rates, levy, or cess, from being considered a "Change in Law" (Clause 1.1.1, "Change in Law").</w:t>
      </w:r>
    </w:p>
    <w:p>
      <w:pPr>
        <w:pStyle w:val="ListBullet"/>
      </w:pPr>
      <w:r>
        <w:t>The contract mandates that any change in law resulting in the Concessionaire being unable to exercise its rights or materially impairing its ability to utilize the Project Assets is considered a Political Event (Clause 15.4, Political Event).</w:t>
      </w:r>
    </w:p>
    <w:p>
      <w:pPr>
        <w:pStyle w:val="Heading2"/>
      </w:pPr>
      <w:r>
        <w:t>Economic Implication</w:t>
      </w:r>
    </w:p>
    <w:p>
      <w:pPr>
        <w:pStyle w:val="ListBullet"/>
      </w:pPr>
      <w:r>
        <w:t>The exclusion of tax changes from "Change in Law" implies that the Concessionaire bears the economic risk of any tax increases, which could affect profitability.</w:t>
      </w:r>
    </w:p>
    <w:p>
      <w:pPr>
        <w:pStyle w:val="ListBullet"/>
      </w:pPr>
      <w:r>
        <w:t>The classification of certain changes in law as Political Events may allow the Concessionaire to claim relief or compensation, potentially mitigating financial impacts.</w:t>
      </w:r>
    </w:p>
    <w:p>
      <w:pPr>
        <w:pStyle w:val="Heading2"/>
      </w:pPr>
      <w:r>
        <w:t>Bankability Impact</w:t>
      </w:r>
    </w:p>
    <w:p>
      <w:pPr>
        <w:pStyle w:val="ListBullet"/>
      </w:pPr>
      <w:r>
        <w:t>The clear definition of "Change in Law" and its exclusions provides clarity to lenders and investors, enhancing the contract's bankability by delineating the risk allocation.</w:t>
      </w:r>
    </w:p>
    <w:p>
      <w:pPr>
        <w:pStyle w:val="ListBullet"/>
      </w:pPr>
      <w:r>
        <w:t>The explicit exclusion of tax changes from "Change in Law" may be viewed negatively by investors, as it places the burden of tax increases on the Concessionaire, potentially affecting cash flows.</w:t>
      </w:r>
    </w:p>
    <w:p>
      <w:pPr>
        <w:pStyle w:val="Heading2"/>
      </w:pPr>
      <w:r>
        <w:t>Clause Evidence</w:t>
      </w:r>
    </w:p>
    <w:p>
      <w:pPr>
        <w:pStyle w:val="ListBullet"/>
      </w:pPr>
      <w:r>
        <w:t>"Change in Law" means the occurrence of any of the following after the date hereof: (a) The enactment of any new Indian law; (b) Repeal, modification or re-enactment of any existing Indian law; (c) The commencement of any Indian law which has not entered into effect until the date of application; or (d) A change in the interpretation or application of any Indian law by a judgment of a court of record which has become final, conclusive and binding, as compared to such interpretation or application by a court of record prior to the date of application. For the avoidance of doubt it is hereby expressly clarified that any change in any tax or tax-related laws, including change in any tax rates, levy, cess shall not amount to a Change in Law for the purposes of this Agreement and the Concessionaire may, in its discretion, pass on the impact thereof to its customers. (Clause 1.1.1, "Change in Law")</w:t>
      </w:r>
    </w:p>
    <w:p>
      <w:pPr>
        <w:pStyle w:val="ListBullet"/>
      </w:pPr>
      <w:r>
        <w:t>A political event shall mean one or more of the following acts or events by or on account of any Government Authority pertaining to only Central Government in India: (a) Change in Law resulting in the Concessionaire being unable to exercise its rights under this Agreement or materially impairing the ability of the Concessionaire to utilize the Project Assets in the manner or for the purpose contemplated under this Agreement; (Clause 15.4, Political Event)</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Relief Structure</w:t>
      </w:r>
    </w:p>
    <w:p>
      <w:pPr>
        <w:pStyle w:val="Heading2"/>
      </w:pPr>
      <w:r>
        <w:t>Legal Position</w:t>
      </w:r>
    </w:p>
    <w:p>
      <w:pPr>
        <w:pStyle w:val="ListBullet"/>
      </w:pPr>
      <w:r>
        <w:t>The contract explicitly allows for relief in the event of a Force Majeure, which includes Non-Political Events, Indirect Political Events, and Political Events, as defined in Articles 15.2, 15.3, and 15.4. The relief is conditional upon the Affected Party notifying the other Party within 7 days of the occurrence of the Force Majeure Event (Article 15.5).</w:t>
      </w:r>
    </w:p>
    <w:p>
      <w:pPr>
        <w:pStyle w:val="ListBullet"/>
      </w:pPr>
      <w:r>
        <w:t>The contract mandates that the Affected Party provide regular reports on the Force Majeure Event and its impact (Article 15.5).</w:t>
      </w:r>
    </w:p>
    <w:p>
      <w:pPr>
        <w:pStyle w:val="ListBullet"/>
      </w:pPr>
      <w:r>
        <w:t>The contract explicitly states that the Agreement Period shall be extended by the duration of the Force Majeure Event (Article 15.6).</w:t>
      </w:r>
    </w:p>
    <w:p>
      <w:pPr>
        <w:pStyle w:val="ListBullet"/>
      </w:pPr>
      <w:r>
        <w:t>The contract restricts any Party from claiming costs, losses, or damages from the other Party during the Force Majeure Event (Article 15.6).</w:t>
      </w:r>
    </w:p>
    <w:p>
      <w:pPr>
        <w:pStyle w:val="ListBullet"/>
      </w:pPr>
      <w:r>
        <w:t>The contract allows for termination if a Force Majeure Event persists for 180 days or more within a 365-day period, with a 15-day notice period for representation (Article 15.7).</w:t>
      </w:r>
    </w:p>
    <w:p>
      <w:pPr>
        <w:pStyle w:val="Heading2"/>
      </w:pPr>
      <w:r>
        <w:t>Economic Implication</w:t>
      </w:r>
    </w:p>
    <w:p>
      <w:pPr>
        <w:pStyle w:val="ListBullet"/>
      </w:pPr>
      <w:r>
        <w:t>The extension of the Agreement Period due to Force Majeure ensures that the Concessionaire is not economically disadvantaged by events beyond its control, preserving the economic balance of the contract.</w:t>
      </w:r>
    </w:p>
    <w:p>
      <w:pPr>
        <w:pStyle w:val="ListBullet"/>
      </w:pPr>
      <w:r>
        <w:t>The restriction on claiming costs, losses, or damages during a Force Majeure Event implies that both parties bear their own economic burdens during such events, potentially impacting cash flow and financial planning.</w:t>
      </w:r>
    </w:p>
    <w:p>
      <w:pPr>
        <w:pStyle w:val="Heading2"/>
      </w:pPr>
      <w:r>
        <w:t>Bankability Impact</w:t>
      </w:r>
    </w:p>
    <w:p>
      <w:pPr>
        <w:pStyle w:val="ListBullet"/>
      </w:pPr>
      <w:r>
        <w:t>From a lender and investor perspective, the clarity on Force Majeure relief and the extension of the Agreement Period enhance the contract's bankability by reducing uncertainty and protecting the Concessionaire's interests.</w:t>
      </w:r>
    </w:p>
    <w:p>
      <w:pPr>
        <w:pStyle w:val="ListBullet"/>
      </w:pPr>
      <w:r>
        <w:t>The ability to terminate the contract after a prolonged Force Majeure Event provides a clear exit strategy, which may be viewed favorably by lenders concerned about prolonged non-performance.</w:t>
      </w:r>
    </w:p>
    <w:p>
      <w:pPr>
        <w:pStyle w:val="Heading2"/>
      </w:pPr>
      <w:r>
        <w:t>Clause Evidence</w:t>
      </w:r>
    </w:p>
    <w:p>
      <w:pPr>
        <w:pStyle w:val="ListBullet"/>
      </w:pPr>
      <w:r>
        <w:t>"The Affected Party shall not be entitled to any relief for or in respect of a Force Majeure Event unless it shall have notified the other Party of the occurrence of the Force Majeure Event as soon as reasonably practicable, and in any event not later than 7 (seven) days after the Affected Party knew, or ought reasonably to have known, of its occurrence..." (Article 15.5)</w:t>
      </w:r>
    </w:p>
    <w:p>
      <w:pPr>
        <w:pStyle w:val="ListBullet"/>
      </w:pPr>
      <w:r>
        <w:t>"If any Force Majeure Event occurs before the expiry of this Agreement, the Agreement Period and the dates set forth in the Agreement shall be extended by a period equal in length to the duration for which such Force Majeure Event subsists..." (Article 15.6)</w:t>
      </w:r>
    </w:p>
    <w:p>
      <w:pPr>
        <w:pStyle w:val="ListBullet"/>
      </w:pPr>
      <w:r>
        <w:t>"If a Force Majeure Event subsists for a period of 180 (one hundred and eighty) days or more within a continuous period of 365 (three hundred and sixty five) days, either Party may in its discretion terminate this Agreement by issuing a written termination notice..." (Article 15.7)</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Termination &amp; Step-in Rights</w:t>
      </w:r>
    </w:p>
    <w:p>
      <w:pPr>
        <w:pStyle w:val="Heading2"/>
      </w:pPr>
      <w:r>
        <w:t>Legal Position</w:t>
      </w:r>
    </w:p>
    <w:p>
      <w:pPr>
        <w:pStyle w:val="ListBullet"/>
      </w:pPr>
      <w:r>
        <w:t>The contract explicitly allows termination upon the occurrence of a Financial Default, as stated in Clause 5.1. The Lenders' Representative can require the Railway Administration to terminate the Concession Agreement upon issuing a notice of Financial Default.</w:t>
      </w:r>
    </w:p>
    <w:p>
      <w:pPr>
        <w:pStyle w:val="ListBullet"/>
      </w:pPr>
      <w:r>
        <w:t>The contract explicitly allows termination when no Nominated Company is selected within 180 days or any extension thereof, as per Clause 5.2.</w:t>
      </w:r>
    </w:p>
    <w:p>
      <w:pPr>
        <w:pStyle w:val="ListBullet"/>
      </w:pPr>
      <w:r>
        <w:t>The contract explicitly mandates that each Project Agreement must contain provisions allowing a Nominated Company to step in, as per Clause 4.1.</w:t>
      </w:r>
    </w:p>
    <w:p>
      <w:pPr>
        <w:pStyle w:val="ListBullet"/>
      </w:pPr>
      <w:r>
        <w:t>The contract is silent on specific conditions or procedures for step-in rights beyond the substitution of a Nominated Company in Project Agreements.</w:t>
      </w:r>
    </w:p>
    <w:p>
      <w:pPr>
        <w:pStyle w:val="Heading2"/>
      </w:pPr>
      <w:r>
        <w:t>Economic Implication</w:t>
      </w:r>
    </w:p>
    <w:p>
      <w:pPr>
        <w:pStyle w:val="ListBullet"/>
      </w:pPr>
      <w:r>
        <w:t>The explicit termination rights upon Financial Default provide a clear exit mechanism for lenders, potentially reducing their risk exposure.</w:t>
      </w:r>
    </w:p>
    <w:p>
      <w:pPr>
        <w:pStyle w:val="ListBullet"/>
      </w:pPr>
      <w:r>
        <w:t>The requirement for Project Agreements to allow a Nominated Company to step in ensures continuity of operations, which can mitigate economic disruptions.</w:t>
      </w:r>
    </w:p>
    <w:p>
      <w:pPr>
        <w:pStyle w:val="ListBullet"/>
      </w:pPr>
      <w:r>
        <w:t>The absence of detailed step-in procedures may lead to uncertainties in execution, potentially affecting the economic stability of the project during distress situations.</w:t>
      </w:r>
    </w:p>
    <w:p>
      <w:pPr>
        <w:pStyle w:val="Heading2"/>
      </w:pPr>
      <w:r>
        <w:t>Bankability Impact</w:t>
      </w:r>
    </w:p>
    <w:p>
      <w:pPr>
        <w:pStyle w:val="ListBullet"/>
      </w:pPr>
      <w:r>
        <w:t>From a lender and investor perspective, the explicit termination clauses enhance clarity and enforceability, which is favorable for bankability.</w:t>
      </w:r>
    </w:p>
    <w:p>
      <w:pPr>
        <w:pStyle w:val="ListBullet"/>
      </w:pPr>
      <w:r>
        <w:t>The provision for a Nominated Company to step in supports risk allocation and continuity, positively impacting bankability.</w:t>
      </w:r>
    </w:p>
    <w:p>
      <w:pPr>
        <w:pStyle w:val="ListBullet"/>
      </w:pPr>
      <w:r>
        <w:t>The lack of detailed step-in procedures may introduce execution risk, which could be a concern for lenders and investors seeking comprehensive risk mitigation strategies.</w:t>
      </w:r>
    </w:p>
    <w:p>
      <w:pPr>
        <w:pStyle w:val="Heading2"/>
      </w:pPr>
      <w:r>
        <w:t>Clause Evidence</w:t>
      </w:r>
    </w:p>
    <w:p>
      <w:pPr>
        <w:pStyle w:val="ListBullet"/>
      </w:pPr>
      <w:r>
        <w:t>"5.1 Termination upon occurrence of Financial Default... the Lenders' Representative may by a notice in writing require the Railway Administration to terminate the Concession Agreement forthwith..."</w:t>
      </w:r>
    </w:p>
    <w:p>
      <w:pPr>
        <w:pStyle w:val="ListBullet"/>
      </w:pPr>
      <w:r>
        <w:t>"5.2 Termination when no Nominated Company is selected... the Railway Administration may terminate the Concession Agreement forthwith..."</w:t>
      </w:r>
    </w:p>
    <w:p>
      <w:pPr>
        <w:pStyle w:val="ListBullet"/>
      </w:pPr>
      <w:r>
        <w:t>"4.1 Substitution of Nominated Company in Project Agreements... entitle the Nominated Company to step into such Project Agreement..."</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Dispute Resolution &amp; Governing Law</w:t>
      </w:r>
    </w:p>
    <w:p>
      <w:pPr>
        <w:pStyle w:val="Heading2"/>
      </w:pPr>
      <w:r>
        <w:t>Legal Position</w:t>
      </w:r>
    </w:p>
    <w:p>
      <w:pPr>
        <w:pStyle w:val="ListBullet"/>
      </w:pPr>
      <w:r>
        <w:t>The contract explicitly mandates that any dispute, difference, or claim arising out of or in connection with the agreement, which is not resolved amicably, shall be decided by arbitration. The arbitration is to be conducted by a Board of Arbitrators, with one nominee each from the Railway Administration, the Concessionaire, and the Lenders' Representative. (Clause 8.1.1)</w:t>
      </w:r>
    </w:p>
    <w:p>
      <w:pPr>
        <w:pStyle w:val="ListBullet"/>
      </w:pPr>
      <w:r>
        <w:t>The arbitration shall be held in accordance with the Rules of Arbitration of the International Centre for Alternative Dispute Resolution, New Delhi, or other mutually agreed rules, and is subject to the Arbitration and Conciliation Act, 1996. (Clause 8.1.1)</w:t>
      </w:r>
    </w:p>
    <w:p>
      <w:pPr>
        <w:pStyle w:val="ListBullet"/>
      </w:pPr>
      <w:r>
        <w:t>The arbitrators are required to issue a reasoned award, which shall be final and binding on the parties. The venue of arbitration is Delhi, and the language is English. (Clause 8.1.2)</w:t>
      </w:r>
    </w:p>
    <w:p>
      <w:pPr>
        <w:pStyle w:val="ListBullet"/>
      </w:pPr>
      <w:r>
        <w:t>The agreement is governed by the laws of India, and the courts at Delhi have jurisdiction over matters arising out of or relating to the agreement. (Clause 9.1)</w:t>
      </w:r>
    </w:p>
    <w:p>
      <w:pPr>
        <w:pStyle w:val="Heading2"/>
      </w:pPr>
      <w:r>
        <w:t>Economic Implication</w:t>
      </w:r>
    </w:p>
    <w:p>
      <w:pPr>
        <w:pStyle w:val="ListBullet"/>
      </w:pPr>
      <w:r>
        <w:t>The arbitration process provides a structured mechanism for resolving disputes, which can reduce the time and cost associated with litigation, thereby potentially lowering the overall transaction costs for the parties involved.</w:t>
      </w:r>
    </w:p>
    <w:p>
      <w:pPr>
        <w:pStyle w:val="ListBullet"/>
      </w:pPr>
      <w:r>
        <w:t>The final and binding nature of the arbitration award ensures certainty and predictability in the resolution of disputes, which can facilitate smoother commercial operations and planning.</w:t>
      </w:r>
    </w:p>
    <w:p>
      <w:pPr>
        <w:pStyle w:val="Heading2"/>
      </w:pPr>
      <w:r>
        <w:t>Bankability Impact</w:t>
      </w:r>
    </w:p>
    <w:p>
      <w:pPr>
        <w:pStyle w:val="ListBullet"/>
      </w:pPr>
      <w:r>
        <w:t>From a lender and investor perspective, the clarity and enforceability of the dispute resolution mechanism enhance the bankability of the project by providing a clear path for resolving conflicts, thus reducing perceived risks.</w:t>
      </w:r>
    </w:p>
    <w:p>
      <w:pPr>
        <w:pStyle w:val="ListBullet"/>
      </w:pPr>
      <w:r>
        <w:t>The choice of a neutral arbitration venue and adherence to established arbitration rules can increase confidence among international investors and lenders regarding fair treatment and impartiality.</w:t>
      </w:r>
    </w:p>
    <w:p>
      <w:pPr>
        <w:pStyle w:val="Heading2"/>
      </w:pPr>
      <w:r>
        <w:t>Clause Evidence</w:t>
      </w:r>
    </w:p>
    <w:p>
      <w:pPr>
        <w:pStyle w:val="ListBullet"/>
      </w:pPr>
      <w:r>
        <w:t>"Any dispute, difference or claim arising out of or in connection with this Agreement which is not resolved amicably shall be decided by reference to arbitration to a Board of Arbitrators comprising one nominee each of the Railway Administration, Concessionaire and the Lenders' Representative." (Clause 8.1.1)</w:t>
      </w:r>
    </w:p>
    <w:p>
      <w:pPr>
        <w:pStyle w:val="ListBullet"/>
      </w:pPr>
      <w:r>
        <w:t>"Such arbitration shall be held in accordance with the Rules of Arbitration of the International Centre for Alternative Dispute Resolution, New Delhi (the 'Rules') or such other rules as may be mutually agreed by the Parties, and shall be subject to provisions of the Arbitration and Conciliation Act, 1996." (Clause 8.1.1)</w:t>
      </w:r>
    </w:p>
    <w:p>
      <w:pPr>
        <w:pStyle w:val="ListBullet"/>
      </w:pPr>
      <w:r>
        <w:t>"The Arbitrators shall issue a reasoned award and such award shall be final and binding on the Parties. The venue of arbitration shall be Delhi and the language of arbitration shall be English." (Clause 8.1.2)</w:t>
      </w:r>
    </w:p>
    <w:p>
      <w:pPr>
        <w:pStyle w:val="ListBullet"/>
      </w:pPr>
      <w:r>
        <w:t>"This Agreement shall be construed and interpreted in accordance with and governed by the laws of India, and the Courts at Delhi shall have jurisdiction over all matters arising out of or relating to this Agreement." (Clause 9.1)</w:t>
      </w:r>
    </w:p>
    <w:p>
      <w:pPr>
        <w:pStyle w:val="Heading2"/>
      </w:pPr>
      <w:r>
        <w:t>Evidence Strength</w:t>
      </w:r>
    </w:p>
    <w:p>
      <w:r>
        <w:rPr>
          <w:b/>
        </w:rPr>
        <w:t>STRONG</w:t>
      </w:r>
    </w:p>
    <w:p>
      <w:pPr>
        <w:pStyle w:val="Heading2"/>
      </w:pPr>
      <w:r>
        <w:t>Confidence Assessment</w:t>
      </w:r>
    </w:p>
    <w:p>
      <w:r>
        <w:rPr>
          <w:b/>
        </w:rPr>
        <w:t>Overall Confidence Level: HIGH</w:t>
      </w:r>
    </w:p>
    <w:p>
      <w:r>
        <w:br w:type="page"/>
      </w:r>
    </w:p>
    <w:p>
      <w:pPr>
        <w:pStyle w:val="Heading1"/>
      </w:pPr>
      <w:r>
        <w:t>Assignment &amp; Financing Flexibility</w:t>
      </w:r>
    </w:p>
    <w:p>
      <w:pPr>
        <w:pStyle w:val="Heading2"/>
      </w:pPr>
      <w:r>
        <w:t>Legal Position</w:t>
      </w:r>
    </w:p>
    <w:p>
      <w:pPr>
        <w:pStyle w:val="ListBullet"/>
      </w:pPr>
      <w:r>
        <w:t>The contract explicitly allows the Concessionaire to transfer and/or assign the Agreement to a direct/indirect subsidiary or holding company or to a Lender's Nominee for substitution due to a Financing Event of Default, subject to the Transferee being acceptable to the Railway Administration from a national security and public interest perspective (Clause 12.1.1).</w:t>
      </w:r>
    </w:p>
    <w:p>
      <w:pPr>
        <w:pStyle w:val="ListBullet"/>
      </w:pPr>
      <w:r>
        <w:t>The Concessionaire may transfer and/or assign the Concession to any third party after one year from the commencement of commercial operations, subject to approval from the Railway Administration, which can only reject the transfer if it is prejudicial to national security or public interest (Clause 12.1.2).</w:t>
      </w:r>
    </w:p>
    <w:p>
      <w:pPr>
        <w:pStyle w:val="ListBullet"/>
      </w:pPr>
      <w:r>
        <w:t>There shall be no Change of Control of the Concessionaire before one year from the commencement of commercial operations, and any Change of Control thereafter requires approval from the Railway Administration, which can only reject it from a national security or public interest perspective (Clause 12.2.1).</w:t>
      </w:r>
    </w:p>
    <w:p>
      <w:pPr>
        <w:pStyle w:val="Heading2"/>
      </w:pPr>
      <w:r>
        <w:t>Economic Implication</w:t>
      </w:r>
    </w:p>
    <w:p>
      <w:pPr>
        <w:pStyle w:val="ListBullet"/>
      </w:pPr>
      <w:r>
        <w:t>The ability to assign or transfer the concession after one year provides the Concessionaire with flexibility to restructure or exit the project, potentially enhancing its attractiveness to investors.</w:t>
      </w:r>
    </w:p>
    <w:p>
      <w:pPr>
        <w:pStyle w:val="ListBullet"/>
      </w:pPr>
      <w:r>
        <w:t>The requirement for Railway Administration approval for transfers and changes of control introduces a regulatory oversight that could delay transactions, impacting the timing and cost of financing arrangements.</w:t>
      </w:r>
    </w:p>
    <w:p>
      <w:pPr>
        <w:pStyle w:val="Heading2"/>
      </w:pPr>
      <w:r>
        <w:t>Bankability Impact</w:t>
      </w:r>
    </w:p>
    <w:p>
      <w:pPr>
        <w:pStyle w:val="ListBullet"/>
      </w:pPr>
      <w:r>
        <w:t>The explicit allowance for assignment and transfer, along with the provision for substitution by Lenders' Nominee, enhances the bankability of the project by providing clear mechanisms for lenders to step in and protect their interests in case of default.</w:t>
      </w:r>
    </w:p>
    <w:p>
      <w:pPr>
        <w:pStyle w:val="ListBullet"/>
      </w:pPr>
      <w:r>
        <w:t>However, the need for Railway Administration approval based on national security and public interest could introduce uncertainty and perceived risk, potentially affecting lender confidence and the terms of financing.</w:t>
      </w:r>
    </w:p>
    <w:p>
      <w:pPr>
        <w:pStyle w:val="Heading2"/>
      </w:pPr>
      <w:r>
        <w:t>Clause Evidence</w:t>
      </w:r>
    </w:p>
    <w:p>
      <w:pPr>
        <w:pStyle w:val="ListBullet"/>
      </w:pPr>
      <w:r>
        <w:t>"The Concessionaire shall not transfer and/or assign this Agreement, before the completion of 1 (one) year from the Commercial Operation Date, to any third party except if the same is done in favour of a direct/indirect subsidiary or holding company... or any assignment/transfer of this Agreement by the Concessionaire to any Lender's Nominee for substitution of the Concessionaire pursuant to a Financing Event of Default under any Financing Document through the Substitution Agreement ('Transferee'), subject to such Transferee being found acceptable by the Railway Administration from a national security and public interest perspective." (Clause 12.1.1)</w:t>
      </w:r>
    </w:p>
    <w:p>
      <w:pPr>
        <w:pStyle w:val="ListBullet"/>
      </w:pPr>
      <w:r>
        <w:t>"The Concessionaire may transfer and/or assign the Concession to any third party after one (1) year after the commencement of commercial operations of the Concessionaire's Trains, however subject to the condition that such transfer shall be effected only pursuant to an approval from the Railway Administration, which may only reject the transfer or assignment if it believes that such transfer would be prejudicial to national security or public interest." (Clause 12.1.2)</w:t>
      </w:r>
    </w:p>
    <w:p>
      <w:pPr>
        <w:pStyle w:val="ListBullet"/>
      </w:pPr>
      <w:r>
        <w:t>"There shall be no Change of Control of the Concessionaire through transfer of the direct or indirect legal or beneficial ownership or control of any equity or other contractual arrangement before the completion of one (1) year from the commencement of commercial operations of the Concessionaire's Trains pursuant to this Agreement, whereafter there may be a Change of Control, subject however to the condition that such Change of Control shall be effected only after an approval from the Railway Administration, which may only reject such Change of Control from a national security or public interest perspective." (Clause 12.2.1)</w:t>
      </w:r>
    </w:p>
    <w:p>
      <w:pPr>
        <w:pStyle w:val="Heading2"/>
      </w:pPr>
      <w:r>
        <w:t>Evidence Strength</w:t>
      </w:r>
    </w:p>
    <w:p>
      <w:r>
        <w:rPr>
          <w:b/>
        </w:rPr>
        <w:t>STRONG</w:t>
      </w:r>
    </w:p>
    <w:p>
      <w:pPr>
        <w:pStyle w:val="Heading2"/>
      </w:pPr>
      <w:r>
        <w:t>Confidence Assessment</w:t>
      </w:r>
    </w:p>
    <w:p>
      <w:r>
        <w:rPr>
          <w:b/>
        </w:rPr>
        <w:t>Overall Confidence Level: HIGH</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