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MCA Comparison Analysis: Adani  Mundra Port agreement for operations vs Bahuli_IOCL_compressed</w:t>
      </w:r>
    </w:p>
    <w:p>
      <w:pPr>
        <w:pStyle w:val="Heading1"/>
      </w:pPr>
      <w:r>
        <w:t>01. Scope of Concession &amp; Rights Granted</w:t>
      </w:r>
    </w:p>
    <w:p>
      <w:pPr>
        <w:pStyle w:val="IntenseQuote"/>
      </w:pPr>
      <w:r>
        <w:t>Which MCA grants greater commercial autonomy to the Concessionaire through the scope of concession and rights granted, and how does this affect the ability to undertake ancillary activities, optimize operations, and generate additional revenue?Compare both agreements using explicit rights, implied limitations, and material silence, supported by clause evidence and evidence strength assessment.</w:t>
      </w:r>
    </w:p>
    <w:p>
      <w:r>
        <w:t>Finding:</w:t>
      </w:r>
    </w:p>
    <w:p>
      <w:r>
        <w:t>Document A (Adani Mundra Port agreement) grants the Concessionaire a broader scope of commercial autonomy compared to Document B (Bahuli_IOCL_compressed). Document A explicitly allows the Concessionaire to collect fees, develop rail terminals, and procure wagons, providing opportunities for ancillary activities and revenue generation. In contrast, Document B primarily focuses on construction and financial obligations, with limited operational rights for the Applicant.</w:t>
      </w:r>
    </w:p>
    <w:p>
      <w:r>
        <w:t>Comparison Insight:</w:t>
      </w:r>
    </w:p>
    <w:p>
      <w:r>
        <w:t>Document A provides the Concessionaire with explicit rights to engage in various commercial activities, such as charging fees and developing infrastructure, which can optimize operations and generate additional revenue. Document B, however, imposes significant restrictions on transferring rights and lacks explicit operational rights, limiting the Applicant's ability to undertake ancillary activities and optimize operations.</w:t>
      </w:r>
    </w:p>
    <w:p>
      <w:r>
        <w:t>Impact on Cash Flows:</w:t>
      </w:r>
    </w:p>
    <w:p>
      <w:r>
        <w:t>Document A's provisions for fee collection and asset encumbrance offer direct revenue streams and financial flexibility, positively impacting cash flows. Document B's financial obligations and restrictions on rights transfer may constrain cash flow optimization and increase financial uncertainty.</w:t>
      </w:r>
    </w:p>
    <w:p>
      <w:r>
        <w:t>Clause Evidence:</w:t>
      </w:r>
    </w:p>
    <w:p>
      <w:pPr>
        <w:pStyle w:val="ListBullet"/>
      </w:pPr>
      <w:r>
        <w:t>Document A:</w:t>
      </w:r>
    </w:p>
    <w:p>
      <w:pPr>
        <w:pStyle w:val="ListBullet"/>
      </w:pPr>
      <w:r>
        <w:t>"The right to undertake the business of collecting, storing and loading ento Wagons, consignments of goods from any third party; The right to determine, charge, collect, retain and appropriate all the fees that it charges from the consigners; The right to obtain access to Rail Terminals and develop, own, operate and maintain Rail Terminals, including inland container depots; The right to procure and own/lease Wagons and containers." (Clauses 3.1.3.1 to 3.1.3.4)</w:t>
      </w:r>
    </w:p>
    <w:p>
      <w:pPr>
        <w:pStyle w:val="ListBullet"/>
      </w:pPr>
      <w:r>
        <w:t>"The Concessionaire may, with prior written consent of Railway Administration, add any or all other categories of routes for operation of its container trains by paying the prescribed Registration Fee or the differential thereof." (Clause 3.2)</w:t>
      </w:r>
    </w:p>
    <w:p>
      <w:pPr>
        <w:pStyle w:val="ListBullet"/>
      </w:pPr>
      <w:r>
        <w:t>Document B:</w:t>
      </w:r>
    </w:p>
    <w:p>
      <w:pPr>
        <w:pStyle w:val="ListBullet"/>
      </w:pPr>
      <w:r>
        <w:t>"The Applicant shall not be entitled to assign or transfer or sublet or permit to be used or enjoyed by any other person in any manner whatsoever any of the rights or benefits conferred upon the Applicant by these presents..." (Clause 21)</w:t>
      </w:r>
    </w:p>
    <w:p>
      <w:pPr>
        <w:pStyle w:val="ListBullet"/>
      </w:pPr>
      <w:r>
        <w:t>"The Railway Administration shall have the absolute right to refuse at any time to allow their rolling stock to go on or be used upon the siding or any part or extension thereof..." (Clause 24)</w:t>
      </w:r>
    </w:p>
    <w:p>
      <w:r>
        <w:t>Evidence Strength: HIGH</w:t>
      </w:r>
    </w:p>
    <w:p>
      <w:r>
        <w:br w:type="page"/>
      </w:r>
    </w:p>
    <w:p>
      <w:pPr>
        <w:pStyle w:val="Heading1"/>
      </w:pPr>
      <w:r>
        <w:t>02. Tariff &amp; Revenue Flexibility</w:t>
      </w:r>
    </w:p>
    <w:p>
      <w:pPr>
        <w:pStyle w:val="IntenseQuote"/>
      </w:pPr>
      <w:r>
        <w:t>Which MCA provides greater flexibility in tariff setting and revenue generation for the Concessionaire, and how does this impact cash flow certainty and lender comfort?Compare both agreements based on explicit pricing clauses, regulatory controls, implicit constraints, and contractual silence, with clause evidence and evidence strength assessment.</w:t>
      </w:r>
    </w:p>
    <w:p>
      <w:r>
        <w:t>Finding:</w:t>
      </w:r>
    </w:p>
    <w:p>
      <w:r>
        <w:t>Document B provides greater flexibility in tariff setting and revenue generation for the Concessionaire compared to Document A. Document B explicitly outlines the Applicant's responsibilities for freight and associated charges, allowing for clear cost structures and risk allocation. In contrast, Document A lacks explicit clauses on tariff and revenue flexibility, leaving these aspects undefined.</w:t>
      </w:r>
    </w:p>
    <w:p>
      <w:r>
        <w:t>Comparison Insight:</w:t>
      </w:r>
    </w:p>
    <w:p>
      <w:r>
        <w:t>Document B's explicit clauses regarding tariff and revenue responsibilities (Clause 16(a), 16(b), 16(c)) provide a structured framework for the Concessionaire to manage operational costs and pricing strategies. This clarity is absent in Document A, which does not provide specific provisions for tariff setting or revenue generation. Document B's approach allows for predictable revenue streams and cost management, enhancing financial planning and lender confidence.</w:t>
      </w:r>
    </w:p>
    <w:p>
      <w:r>
        <w:t>Impact on Cash Flows:</w:t>
      </w:r>
    </w:p>
    <w:p>
      <w:r>
        <w:t>Document B's explicit allocation of tariff and revenue responsibilities ensures cash flow certainty by providing clear guidelines on cost structures and risk allocation. This predictability is favorable for lenders and investors, as it allows for accurate financial assessments and risk management. In contrast, Document A's lack of explicit clauses on these matters introduces uncertainty, potentially affecting cash flow stability and lender comfort.</w:t>
      </w:r>
    </w:p>
    <w:p>
      <w:r>
        <w:t>Clause Evidence:</w:t>
      </w:r>
    </w:p>
    <w:p>
      <w:pPr>
        <w:pStyle w:val="ListBullet"/>
      </w:pPr>
      <w:r>
        <w:t>Document A: No specific clauses addressing tariff and revenue flexibility.</w:t>
      </w:r>
    </w:p>
    <w:p>
      <w:pPr>
        <w:pStyle w:val="ListBullet"/>
      </w:pPr>
      <w:r>
        <w:t>Document B:</w:t>
      </w:r>
    </w:p>
    <w:p>
      <w:pPr>
        <w:pStyle w:val="ListBullet"/>
      </w:pPr>
      <w:r>
        <w:t>"The Applicant shall pay freight and also all other charges (including siding, placement and withdrawal charges, where leviable) on traffic to and from the siding from the date of opening of the siding in accordance with the Railway Administration's Tariffs, Circulars and Advices in force..." (Clause 16(a))</w:t>
      </w:r>
    </w:p>
    <w:p>
      <w:pPr>
        <w:pStyle w:val="ListBullet"/>
      </w:pPr>
      <w:r>
        <w:t>"The free time allowed to the Applicant for loading and unloading and the demurrage charges leviable for detention in excess of such free time will be governed by the rates and rules published from time to time in the Tariffs, Circulars and Advices of the Railway Administration..." (Clause 16(b))</w:t>
      </w:r>
    </w:p>
    <w:p>
      <w:pPr>
        <w:pStyle w:val="ListBullet"/>
      </w:pPr>
      <w:r>
        <w:t>"The Railway Administration will not be responsible for loss, damage, destruction, deterioration of the contents of wagons booked at either owner's risk rate or railway risk rate, hauled over the siding during the time such wagons are in transit or remain on any part of extension of the siding at or beyond the point of interchange." (Clause 16(c))</w:t>
      </w:r>
    </w:p>
    <w:p>
      <w:r>
        <w:t>Evidence Strength: STRONG</w:t>
      </w:r>
    </w:p>
    <w:p>
      <w:r>
        <w:br w:type="page"/>
      </w:r>
    </w:p>
    <w:p>
      <w:pPr>
        <w:pStyle w:val="Heading1"/>
      </w:pPr>
      <w:r>
        <w:t>03. Asset Ownership &amp; Control</w:t>
      </w:r>
    </w:p>
    <w:p>
      <w:pPr>
        <w:pStyle w:val="IntenseQuote"/>
      </w:pPr>
      <w:r>
        <w:t>Which MCA allocates asset ownership and operational control more favorably to the Concessionaire, and how does this affect control over operations, monetization potential, and lender security?Compare both agreements using ownership clauses, control rights, restrictions, and clause evidence with evidence strength assessment.</w:t>
      </w:r>
    </w:p>
    <w:p>
      <w:r>
        <w:t>Finding:</w:t>
      </w:r>
    </w:p>
    <w:p>
      <w:r>
        <w:t>Document A (Adani Mundra Port agreement for operations) allocates asset ownership and operational control more favorably to the Concessionaire compared to Document B (Bahuli_IOCL_compressed). Document A grants the Concessionaire explicit rights to own, lease, and encumber assets, such as Wagons and Rail Terminals, and to collect fees from third parties. In contrast, Document B imposes significant restrictions on the Applicant, including prohibitions on transferring or subletting rights without prior permission and requiring the Applicant to bear all construction and maintenance costs.</w:t>
      </w:r>
    </w:p>
    <w:p>
      <w:r>
        <w:t>Comparison Insight:</w:t>
      </w:r>
    </w:p>
    <w:p>
      <w:r>
        <w:t>Document A provides the Concessionaire with greater control over operations and monetization potential through explicit rights to own and lease assets, collect fees, and encumber assets for financing. This flexibility enhances the Concessionaire's ability to manage operations and secure funding. Document B, however, restricts the Applicant's operational control and monetization potential by requiring prior permission for transfers and imposing financial responsibilities without granting equivalent operational rights.</w:t>
      </w:r>
    </w:p>
    <w:p>
      <w:r>
        <w:t>Impact on Cash Flows:</w:t>
      </w:r>
    </w:p>
    <w:p>
      <w:r>
        <w:t>Document A's provisions allow the Concessionaire to generate direct revenue streams from fees and provide financial flexibility through asset encumbrance, positively impacting cash flows. The non-exclusive nature introduces potential competition, which may affect market share and pricing power. Document B's financial obligations and restrictions on asset control may lead to higher operational costs and limited revenue opportunities, negatively impacting cash flows.</w:t>
      </w:r>
    </w:p>
    <w:p>
      <w:r>
        <w:t>Clause Evidence:</w:t>
      </w:r>
    </w:p>
    <w:p>
      <w:pPr>
        <w:pStyle w:val="ListBullet"/>
      </w:pPr>
      <w:r>
        <w:t>Document A:</w:t>
      </w:r>
    </w:p>
    <w:p>
      <w:pPr>
        <w:pStyle w:val="ListBullet"/>
      </w:pPr>
      <w:r>
        <w:t>"The right to procure and own/lease Wagons and containers." (Clause 3.1.3.4)</w:t>
      </w:r>
    </w:p>
    <w:p>
      <w:pPr>
        <w:pStyle w:val="ListBullet"/>
      </w:pPr>
      <w:r>
        <w:t>"The right to...develop, own, operate and maintain Rail Terminals, including inland container depots." (Clause 3.1.3.3)</w:t>
      </w:r>
    </w:p>
    <w:p>
      <w:pPr>
        <w:pStyle w:val="ListBullet"/>
      </w:pPr>
      <w:r>
        <w:t>"Nothing in this Agreement shall prohibit...the Concessionaire to Encumber its interest...provided that no property which has been leased/licensed by Railway Administration...shall be Encumbered." (Clause 3.4.1)</w:t>
      </w:r>
    </w:p>
    <w:p>
      <w:pPr>
        <w:pStyle w:val="ListBullet"/>
      </w:pPr>
      <w:r>
        <w:t>Document B:</w:t>
      </w:r>
    </w:p>
    <w:p>
      <w:pPr>
        <w:pStyle w:val="ListBullet"/>
      </w:pPr>
      <w:r>
        <w:t>"The Applicant is forbidden to assign, transfer or sublet in any manner whatsoever either/whole or any part of the siding without prior written permission of the Railway Administration." (Clause 21)</w:t>
      </w:r>
    </w:p>
    <w:p>
      <w:pPr>
        <w:pStyle w:val="ListBullet"/>
      </w:pPr>
      <w:r>
        <w:t>"The Railway land required for the siding will be licensed to the Applicant. The Applicant will have to pay for land rent..." (Clause 4b)</w:t>
      </w:r>
    </w:p>
    <w:p>
      <w:pPr>
        <w:pStyle w:val="ListBullet"/>
      </w:pPr>
      <w:r>
        <w:t>"The Applicant shall not be entitled to assign or transfer or sublet or permit to be used or enjoyed by any other person in any manner whatsoever any of the rights or benefits conferred upon the Applicant by these presents..." (Clause 21)</w:t>
      </w:r>
    </w:p>
    <w:p>
      <w:r>
        <w:t>Evidence Strength: HIGH</w:t>
      </w:r>
    </w:p>
    <w:p>
      <w:r>
        <w:br w:type="page"/>
      </w:r>
    </w:p>
    <w:p>
      <w:pPr>
        <w:pStyle w:val="Heading1"/>
      </w:pPr>
      <w:r>
        <w:t>04. Demand &amp; Traffic Risk</w:t>
      </w:r>
    </w:p>
    <w:p>
      <w:pPr>
        <w:pStyle w:val="IntenseQuote"/>
      </w:pPr>
      <w:r>
        <w:t>Which MCA allocates demand or traffic risk more efficiently between the Authority and the Concessionaire, and how does this influence revenue stability, downside risk, and bankability?Compare both agreements based on explicit risk allocation, guarantees, exclusivity provisions, and material silence, supported by clause evidence and evidence strength assessment.</w:t>
      </w:r>
    </w:p>
    <w:p>
      <w:r>
        <w:t>Finding:</w:t>
      </w:r>
    </w:p>
    <w:p>
      <w:r>
        <w:t>Document B allocates demand and traffic risk more explicitly and efficiently between the Authority and the Concessionaire compared to Document A. Document B clearly outlines the responsibilities and financial obligations of the Applicant regarding traffic levels, freight charges, and potential penalties for non-compliance, providing a structured risk allocation framework. In contrast, Document A lacks explicit clauses addressing demand and traffic risk allocation, leading to uncertainty in risk management.</w:t>
      </w:r>
    </w:p>
    <w:p>
      <w:r>
        <w:t>Comparison Insight:</w:t>
      </w:r>
    </w:p>
    <w:p>
      <w:r>
        <w:t>Document B provides a more defined risk allocation framework, which includes specific clauses on maintaining traffic levels, financial penalties, and responsibilities for freight charges. This clarity allows for better assessment of financial risks and enhances revenue stability. Document A's silence on these aspects introduces uncertainty, potentially affecting revenue stability and increasing downside risk. The non-exclusive nature of Document A's concession could introduce competitive risks, whereas Document B's explicit obligations and penalties provide a more predictable operational environment.</w:t>
      </w:r>
    </w:p>
    <w:p>
      <w:r>
        <w:t>Impact on Cash Flows:</w:t>
      </w:r>
    </w:p>
    <w:p>
      <w:r>
        <w:t>Document B's explicit risk allocation and financial obligations provide a clearer picture of potential cash flow impacts, allowing for better financial planning and risk mitigation. The requirement to maintain traffic levels and the associated penalties ensure a more stable revenue stream, albeit with increased financial responsibility on the Applicant. Document A's lack of explicit risk allocation could lead to unpredictable cash flows, affecting financial stability and bankability.</w:t>
      </w:r>
    </w:p>
    <w:p>
      <w:r>
        <w:t>Clause Evidence:</w:t>
      </w:r>
    </w:p>
    <w:p>
      <w:pPr>
        <w:pStyle w:val="ListBullet"/>
      </w:pPr>
      <w:r>
        <w:t>Document A: The document does not contain specific clauses addressing demand and traffic risk allocation.</w:t>
      </w:r>
    </w:p>
    <w:p>
      <w:pPr>
        <w:pStyle w:val="ListBullet"/>
      </w:pPr>
      <w:r>
        <w:t>Document B: "The Applicant shall pay freight and also all other charges... on traffic to and from the siding..." (Clause 16(a)); "The siding owner shall have to maintain the traffic level... In case, siding owner fails to offer such level of traffic, he/they shall reimburse the cost..." (Clause 20(b)); "To refuse supplies of wagons... in the event of non-payment..." (Clause 20(d)).</w:t>
      </w:r>
    </w:p>
    <w:p>
      <w:r>
        <w:t>Evidence Strength: STRONG</w:t>
      </w:r>
    </w:p>
    <w:p>
      <w:r>
        <w:br w:type="page"/>
      </w:r>
    </w:p>
    <w:p>
      <w:pPr>
        <w:pStyle w:val="Heading1"/>
      </w:pPr>
      <w:r>
        <w:t>05. Regulatory Micromanagement</w:t>
      </w:r>
    </w:p>
    <w:p>
      <w:pPr>
        <w:pStyle w:val="IntenseQuote"/>
      </w:pPr>
      <w:r>
        <w:t>Which MCA subjects the Concessionaire to greater regulatory or operational micromanagement, and how does this affect operational autonomy, compliance costs, and efficiency?Compare both agreements using explicit approval requirements, supervisory powers, implied control mechanisms, and clause evidence with evidence strength assessment.</w:t>
      </w:r>
    </w:p>
    <w:p>
      <w:r>
        <w:t>Finding:</w:t>
      </w:r>
    </w:p>
    <w:p>
      <w:r>
        <w:t>Document A (Adani Mundra Port agreement) provides the Concessionaire with more operational autonomy compared to Document B (Bahuli_IOCL_compressed). Document A allows the Concessionaire to own, lease, and encumber assets, and to extend operations with prior consent, while Document B imposes more restrictions on asset control and requires prior permission for any transfer or subletting of rights.</w:t>
      </w:r>
    </w:p>
    <w:p>
      <w:r>
        <w:t>Comparison Insight:</w:t>
      </w:r>
    </w:p>
    <w:p>
      <w:r>
        <w:t>Document A subjects the Concessionaire to less regulatory and operational micromanagement than Document B. Document A allows for more flexibility in asset management and operational expansion, whereas Document B imposes strict controls on asset use, transfer, and operational modifications, requiring prior written permission from the Railway Administration for many actions.</w:t>
      </w:r>
    </w:p>
    <w:p>
      <w:r>
        <w:t>Impact on Cash Flows:</w:t>
      </w:r>
    </w:p>
    <w:p>
      <w:r>
        <w:t>Document A's flexibility in asset management and operational expansion could lead to more efficient operations and potentially lower compliance costs, positively impacting cash flows. In contrast, Document B's stringent controls and financial obligations could increase compliance costs and limit operational efficiency, negatively affecting cash flows.</w:t>
      </w:r>
    </w:p>
    <w:p>
      <w:r>
        <w:t>Clause Evidence:</w:t>
      </w:r>
    </w:p>
    <w:p>
      <w:pPr>
        <w:pStyle w:val="ListBullet"/>
      </w:pPr>
      <w:r>
        <w:t>Document A:</w:t>
      </w:r>
    </w:p>
    <w:p>
      <w:pPr>
        <w:pStyle w:val="ListBullet"/>
      </w:pPr>
      <w:r>
        <w:t>"The right to procure and own/lease Wagons and containers." (Clause 3.1.3.4)</w:t>
      </w:r>
    </w:p>
    <w:p>
      <w:pPr>
        <w:pStyle w:val="ListBullet"/>
      </w:pPr>
      <w:r>
        <w:t>"The Concessionaire may, with prior written consent of Railway Administration, add any or all other categories of routes for operation of its container trains by paying the prescribed Registration Fee or the differential thereof." (Clause 3.2)</w:t>
      </w:r>
    </w:p>
    <w:p>
      <w:pPr>
        <w:pStyle w:val="ListBullet"/>
      </w:pPr>
      <w:r>
        <w:t>"The Concessionaire shall fully indemnify, hold harmless and defend Railway Administration... failure of the Concessionaire to comply with Applicable Laws and Applicable Permits;" (Article 16.2.1(a))</w:t>
      </w:r>
    </w:p>
    <w:p>
      <w:pPr>
        <w:pStyle w:val="ListBullet"/>
      </w:pPr>
      <w:r>
        <w:t>Document B:</w:t>
      </w:r>
    </w:p>
    <w:p>
      <w:pPr>
        <w:pStyle w:val="ListBullet"/>
      </w:pPr>
      <w:r>
        <w:t>"The Applicant shall not be entitled to assign or transfer or sublet or permit to be used or enjoyed by any other person in any manner whatsoever any of the rights or benefits conferred upon the Applicant by these presents..." (Clause 21)</w:t>
      </w:r>
    </w:p>
    <w:p>
      <w:pPr>
        <w:pStyle w:val="ListBullet"/>
      </w:pPr>
      <w:r>
        <w:t>"No addition or alteration shall be made to the siding nor shall any temporary or permanent structure be erected without the sanction in writing of the Railway Administration." (Clause 10)</w:t>
      </w:r>
    </w:p>
    <w:p>
      <w:pPr>
        <w:pStyle w:val="ListBullet"/>
      </w:pPr>
      <w:r>
        <w:t>"The Applicant shall pay all rates, taxes, cesses and assessments whatsoever payable, or hereafter to be payable, to any local body or state or Central Government in respect of all structures, buildings and other works built or erected in connection with the siding." (Clause 12b)</w:t>
      </w:r>
    </w:p>
    <w:p>
      <w:r>
        <w:t>Evidence Strength: HIGH</w:t>
      </w:r>
    </w:p>
    <w:p>
      <w:r>
        <w:br w:type="page"/>
      </w:r>
    </w:p>
    <w:p>
      <w:pPr>
        <w:pStyle w:val="Heading1"/>
      </w:pPr>
      <w:r>
        <w:t>06. Dispute Resolution</w:t>
      </w:r>
    </w:p>
    <w:p>
      <w:pPr>
        <w:pStyle w:val="IntenseQuote"/>
      </w:pPr>
      <w:r>
        <w:t>Which MCA provides a more neutral, predictable, and enforceable dispute resolution framework, and how does this affect legal certainty and lender confidence?Compare both agreements based on arbitration structure, appointment mechanisms, governing law, enforcement certainty, and clause evidence with evidence strength assessment.</w:t>
      </w:r>
    </w:p>
    <w:p>
      <w:r>
        <w:t>Finding:</w:t>
      </w:r>
    </w:p>
    <w:p>
      <w:r>
        <w:t>Document A provides a more neutral, predictable, and enforceable dispute resolution framework compared to Document B. Document A specifies a Board of Arbitrators with representatives from all parties, including lenders, and follows established international arbitration rules. Document B relies on a sole arbitrator appointed by one party, which may not be perceived as neutral.</w:t>
      </w:r>
    </w:p>
    <w:p>
      <w:r>
        <w:t>Comparison Insight:</w:t>
      </w:r>
    </w:p>
    <w:p>
      <w:r>
        <w:t>Document A's arbitration structure involves multiple stakeholders in the appointment process, enhancing neutrality and fairness. It also specifies the governing law and jurisdiction, which adds predictability and legal certainty. Document B lacks a specified governing law and relies on a sole arbitrator appointed by one party, which may lead to perceived bias and legal uncertainties.</w:t>
      </w:r>
    </w:p>
    <w:p>
      <w:r>
        <w:t>Impact on Cash Flows:</w:t>
      </w:r>
    </w:p>
    <w:p>
      <w:r>
        <w:t>The structured and neutral dispute resolution framework in Document A is likely to enhance lender confidence and reduce perceived risks, potentially leading to more favorable financing terms and stable cash flows. In contrast, the uncertainties in Document B's framework could increase legal risks and costs, potentially affecting cash flow stability and lender confidence.</w:t>
      </w:r>
    </w:p>
    <w:p>
      <w:r>
        <w:t>Clause Evidence:</w:t>
      </w:r>
    </w:p>
    <w:p>
      <w:pPr>
        <w:pStyle w:val="ListBullet"/>
      </w:pPr>
      <w:r>
        <w:t>Document A:</w:t>
      </w:r>
    </w:p>
    <w:p>
      <w:pPr>
        <w:pStyle w:val="ListBullet"/>
      </w:pPr>
      <w:r>
        <w:t>"Any dispute, difference or claim arising out of or in connection with this Agreement which is not resolved amicably shall be decided by reference to arbitration to a Board of Arbitrators comprising one nominee each of the Railway Administration, Concessionaire and the Lenders' Representative." (Clause 8.1.1)</w:t>
      </w:r>
    </w:p>
    <w:p>
      <w:pPr>
        <w:pStyle w:val="ListBullet"/>
      </w:pPr>
      <w:r>
        <w:t>"Such arbitration shall be held in accordance with the Rules of Arbitration of the International Centre for Alternative Dispute Resolution, New Delhi (the 'Rules') or such other rules as may be mutually agreed by the Parties, and shall be subject to provisions of the Arbitration and Conciliation Act, 1996." (Clause 8.1.1)</w:t>
      </w:r>
    </w:p>
    <w:p>
      <w:pPr>
        <w:pStyle w:val="ListBullet"/>
      </w:pPr>
      <w:r>
        <w:t>"The Arbitrators shall issue a reasoned award and such award shall be final and binding on the Parties. The venue of arbitration shall be Delhi and the language of arbitration shall be English." (Clause 8.1.2)</w:t>
      </w:r>
    </w:p>
    <w:p>
      <w:pPr>
        <w:pStyle w:val="ListBullet"/>
      </w:pPr>
      <w:r>
        <w:t>"This Agreement shall be construed and interpreted in accordance with and governed by the laws of India, and the Courts at Delhi shall have jurisdiction over all matters arising out of or relating to this Agreement." (Clause 9.1)</w:t>
      </w:r>
    </w:p>
    <w:p>
      <w:pPr>
        <w:pStyle w:val="ListBullet"/>
      </w:pPr>
      <w:r>
        <w:t>Document B:</w:t>
      </w:r>
    </w:p>
    <w:p>
      <w:pPr>
        <w:pStyle w:val="ListBullet"/>
      </w:pPr>
      <w:r>
        <w:t>"In the event of any dispute or difference of opinion between the parties as to the true intent and meaning of these presents or any articles or conditions thereof arising such dispute or difference of opinion (except the matters in regarding which the decision has been specifically provided for in this Agreement) shall be referred to the sole arbitration of an arbitrator to be appointed by General Manager, Northern Railway for the time being, and his decision shall be final conclusive and binding on the parties." (Clause 39)</w:t>
      </w:r>
    </w:p>
    <w:p>
      <w:r>
        <w:t>Evidence Strength: HIGH</w:t>
      </w:r>
    </w:p>
    <w:p>
      <w:r>
        <w:br w:type="page"/>
      </w:r>
    </w:p>
    <w:p>
      <w:pPr>
        <w:pStyle w:val="Heading1"/>
      </w:pPr>
      <w:r>
        <w:t>07. Termination</w:t>
      </w:r>
    </w:p>
    <w:p>
      <w:pPr>
        <w:pStyle w:val="IntenseQuote"/>
      </w:pPr>
      <w:r>
        <w:t>Which MCA exposes the Concessionaire to higher termination risk, and how does this affect equity protection, cash flow continuity, and lender confidence?Compare both agreements using termination triggers, cure periods, compensation provisions, and clause evidence with evidence strength assessment.</w:t>
      </w:r>
    </w:p>
    <w:p>
      <w:r>
        <w:t>Finding:</w:t>
      </w:r>
    </w:p>
    <w:p>
      <w:r>
        <w:t>Document A (Adani Mundra Port agreement) provides explicit termination rights upon financial default and allows for a Nominated Company to step in, which supports continuity and risk mitigation. Document B (Bahuli_IOCL_compressed) allows for termination without prior notice upon specific events and lacks a cure period, increasing the risk of abrupt termination.</w:t>
      </w:r>
    </w:p>
    <w:p>
      <w:r>
        <w:t>Comparison Insight:</w:t>
      </w:r>
    </w:p>
    <w:p>
      <w:r>
        <w:t>Document A offers more structured termination and step-in provisions, which can protect equity and ensure cash flow continuity by allowing a Nominated Company to take over operations. Document B's provisions expose the Concessionaire to higher termination risk due to the lack of cure periods and the Railway Administration's broad discretion to terminate without notice, which can disrupt operations and deter investment.</w:t>
      </w:r>
    </w:p>
    <w:p>
      <w:r>
        <w:t>Impact on Cash Flows:</w:t>
      </w:r>
    </w:p>
    <w:p>
      <w:r>
        <w:t>Document A's structured termination and step-in rights can help maintain cash flow continuity by ensuring operations continue under a Nominated Company. In contrast, Document B's abrupt termination rights and lack of cure periods can lead to sudden operational disruptions, negatively impacting cash flows and lender confidence.</w:t>
      </w:r>
    </w:p>
    <w:p>
      <w:r>
        <w:t>Clause Evidence:</w:t>
      </w:r>
    </w:p>
    <w:p>
      <w:pPr>
        <w:pStyle w:val="ListBullet"/>
      </w:pPr>
      <w:r>
        <w:t>Document A:</w:t>
      </w:r>
    </w:p>
    <w:p>
      <w:pPr>
        <w:pStyle w:val="ListBullet"/>
      </w:pPr>
      <w:r>
        <w:t>"5.1 Termination upon occurrence of Financial Default... the Lenders' Representative may by a notice in writing require the Railway Administration to terminate the Concession Agreement forthwith..."</w:t>
      </w:r>
    </w:p>
    <w:p>
      <w:pPr>
        <w:pStyle w:val="ListBullet"/>
      </w:pPr>
      <w:r>
        <w:t>"5.2 Termination when no Nominated Company is selected... the Railway Administration may terminate the Concession Agreement forthwith..."</w:t>
      </w:r>
    </w:p>
    <w:p>
      <w:pPr>
        <w:pStyle w:val="ListBullet"/>
      </w:pPr>
      <w:r>
        <w:t>"4.1 Substitution of Nominated Company in Project Agreements... entitle the Nominated Company to step into such Project Agreement..."</w:t>
      </w:r>
    </w:p>
    <w:p>
      <w:pPr>
        <w:pStyle w:val="ListBullet"/>
      </w:pPr>
      <w:r>
        <w:t>Document B:</w:t>
      </w:r>
    </w:p>
    <w:p>
      <w:pPr>
        <w:pStyle w:val="ListBullet"/>
      </w:pPr>
      <w:r>
        <w:t>"The Agreement may be determined by the Railway Administration without prior notice at any time after the happening of any of the following events..." (Clause 25)</w:t>
      </w:r>
    </w:p>
    <w:p>
      <w:pPr>
        <w:pStyle w:val="ListBullet"/>
      </w:pPr>
      <w:r>
        <w:t>"On termination of this agreement under provisions of clauses 22, 23, 24, 25, and 27 thereof the Railway Administration shall be entitled to disconnect from their railway the portion of the said siding..." (Clause 26)</w:t>
      </w:r>
    </w:p>
    <w:p>
      <w:pPr>
        <w:pStyle w:val="ListBullet"/>
      </w:pPr>
      <w:r>
        <w:t>"The Railway Administration shall have the absolute right to refuse at any time to allow their rolling stock to go on or be used upon the siding..." (Clause 27)</w:t>
      </w:r>
    </w:p>
    <w:p>
      <w:r>
        <w:t>Evidence Strength: HIGH</w:t>
      </w:r>
    </w:p>
    <w:p>
      <w:r>
        <w:br w:type="page"/>
      </w:r>
    </w:p>
    <w:p>
      <w:pPr>
        <w:pStyle w:val="Heading1"/>
      </w:pPr>
      <w:r>
        <w:t>08. Exit &amp; End-of-Term Provisions</w:t>
      </w:r>
    </w:p>
    <w:p>
      <w:pPr>
        <w:pStyle w:val="IntenseQuote"/>
      </w:pPr>
      <w:r>
        <w:t>Which MCA provides greater flexibility and certainty for exit and end-of-term outcomes for the Concessionaire, and how does this affect recoverability of investment and refinancing options?Compare both agreements based on exit rights, transfer provisions, handover obligations, residual value treatment, and clause evidence with evidence strength assessment.</w:t>
      </w:r>
    </w:p>
    <w:p>
      <w:r>
        <w:t>Finding:</w:t>
      </w:r>
    </w:p>
    <w:p>
      <w:r>
        <w:t>Document A (Adani Mundra Port agreement) provides greater flexibility and certainty for exit and end-of-term outcomes for the Concessionaire compared to Document B (Bahuli_IOCL_compressed). Document A allows for asset ownership, leasing, and encumbrance, as well as assignment and transfer of the concession, which enhances flexibility. Document B imposes strict restrictions on asset transfer and assignment, limiting flexibility.</w:t>
      </w:r>
    </w:p>
    <w:p>
      <w:r>
        <w:t>Comparison Insight:</w:t>
      </w:r>
    </w:p>
    <w:p>
      <w:r>
        <w:t>Document A offers more favorable conditions for the Concessionaire in terms of exit rights and refinancing options. It allows for the transfer and assignment of the concession after one year, subject to approval, and provides clear termination and step-in rights. Document B, on the other hand, restricts assignment and transfer without prior approval, which could hinder refinancing and exit strategies. Document A's provisions for asset encumbrance and assignment enhance the Concessionaire's ability to secure financing and manage investments, whereas Document B's restrictions could limit these opportunities.</w:t>
      </w:r>
    </w:p>
    <w:p>
      <w:r>
        <w:t>Impact on Cash Flows:</w:t>
      </w:r>
    </w:p>
    <w:p>
      <w:r>
        <w:t>Document A's flexibility in asset management and transfer provisions can positively impact cash flows by enabling refinancing and restructuring options, potentially lowering capital costs and enhancing revenue generation. Document B's restrictions on asset transfer and assignment may limit the Concessionaire's ability to optimize cash flows through refinancing or asset monetization, potentially leading to higher financial risk and reduced liquidity.</w:t>
      </w:r>
    </w:p>
    <w:p>
      <w:r>
        <w:t>Clause Evidence:</w:t>
      </w:r>
    </w:p>
    <w:p>
      <w:pPr>
        <w:pStyle w:val="ListBullet"/>
      </w:pPr>
      <w:r>
        <w:t>Document A:</w:t>
      </w:r>
    </w:p>
    <w:p>
      <w:pPr>
        <w:pStyle w:val="ListBullet"/>
      </w:pPr>
      <w:r>
        <w:t>"The right to procure and own/lease Wagons and containers." (Clause 3.1.3.4)</w:t>
      </w:r>
    </w:p>
    <w:p>
      <w:pPr>
        <w:pStyle w:val="ListBullet"/>
      </w:pPr>
      <w:r>
        <w:t>"The right to...develop, own, operate and maintain Rail Terminals, including inland container depots." (Clause 3.1.3.3)</w:t>
      </w:r>
    </w:p>
    <w:p>
      <w:pPr>
        <w:pStyle w:val="ListBullet"/>
      </w:pPr>
      <w:r>
        <w:t>"The Concessionaire may transfer and/or assign the Concession to any third party after one (1) year after the commencement of commercial operations..." (Clause 12.1.2)</w:t>
      </w:r>
    </w:p>
    <w:p>
      <w:pPr>
        <w:pStyle w:val="ListBullet"/>
      </w:pPr>
      <w:r>
        <w:t>"5.1 Termination upon occurrence of Financial Default... the Lenders' Representative may by a notice in writing require the Railway Administration to terminate the Concession Agreement forthwith..."</w:t>
      </w:r>
    </w:p>
    <w:p>
      <w:pPr>
        <w:pStyle w:val="ListBullet"/>
      </w:pPr>
      <w:r>
        <w:t>Document B:</w:t>
      </w:r>
    </w:p>
    <w:p>
      <w:pPr>
        <w:pStyle w:val="ListBullet"/>
      </w:pPr>
      <w:r>
        <w:t>"The Applicant is forbidden to assign, transfer or sublet in any manner whatsoever either/whole or any part of the siding without prior written permission of the Railway Administration." (Clause 21)</w:t>
      </w:r>
    </w:p>
    <w:p>
      <w:pPr>
        <w:pStyle w:val="ListBullet"/>
      </w:pPr>
      <w:r>
        <w:t>"The Agreement may be determined by the Railway Administration without prior notice at any time after the happening of any of the following events..." (Clause 25)</w:t>
      </w:r>
    </w:p>
    <w:p>
      <w:pPr>
        <w:pStyle w:val="ListBullet"/>
      </w:pPr>
      <w:r>
        <w:t>"The Applicant shall not be entitled to assign or transfer or sublet or permit to be used or enjoyed by any other person in any manner whatsoever any of the rights or benefits conferred upon the Applicant by these presents..." (Clause 21)</w:t>
      </w:r>
    </w:p>
    <w:p>
      <w:r>
        <w:t>Evidence Strength: HIGH</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6"/>
      </w:rPr>
      <w:t>Disclaimer: This document has been generated using an AI-based analytical system. The content is intended for research and decision-support purposes only and should not be treated as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