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PPP Concession Agreement Analysis</w:t>
        <w:br/>
        <w:t>Adani  Mundra Port agreement for operations</w:t>
      </w:r>
    </w:p>
    <w:p>
      <w:pPr>
        <w:pStyle w:val="Heading1"/>
      </w:pPr>
      <w:r>
        <w:t>Context &amp; Objective</w:t>
      </w:r>
    </w:p>
    <w:p>
      <w:r>
        <w:t>**SECTION: Context &amp; Objective**</w:t>
      </w:r>
    </w:p>
    <w:p>
      <w:r>
        <w:t>**LEGAL POSITION:**</w:t>
      </w:r>
    </w:p>
    <w:p>
      <w:pPr>
        <w:pStyle w:val="ListBullet"/>
      </w:pPr>
      <w:r>
        <w:t>The contract explicitly allows the Concessionaire to operate container trains on the Indian Railway network for both Export and Import Traffic as well as Domestic Traffic, subject to terms and conditions (Recital A).</w:t>
      </w:r>
    </w:p>
    <w:p>
      <w:pPr>
        <w:pStyle w:val="ListBullet"/>
      </w:pPr>
      <w:r>
        <w:t>The contract mandates that the Concessionaire must abide by the terms and conditions laid down in the policy for movement of container trains on Indian Railways network (Recital D).</w:t>
      </w:r>
    </w:p>
    <w:p>
      <w:pPr>
        <w:pStyle w:val="ListBullet"/>
      </w:pPr>
      <w:r>
        <w:t>The contract restricts the Concessionaire from commencing operations until entering into this Concession Agreement with the Railway Administration (Recital E).</w:t>
      </w:r>
    </w:p>
    <w:p>
      <w:pPr>
        <w:pStyle w:val="ListBullet"/>
      </w:pPr>
      <w:r>
        <w:t>The contract explicitly states the objective to set out the mutual relationship and terms governing the right of the Concessionaire to offer its container trains for movement and the obligation of Railway Administration to move the trains (Recital F).</w:t>
      </w:r>
    </w:p>
    <w:p>
      <w:r>
        <w:t>**ECONOMIC IMPLICATION:**</w:t>
      </w:r>
    </w:p>
    <w:p>
      <w:pPr>
        <w:pStyle w:val="ListBullet"/>
      </w:pPr>
      <w:r>
        <w:t>The commercial consequence of the contract is that the Concessionaire is granted the right to operate container trains, which introduces competition in railway container transport services in India, potentially increasing railway's share of container traffic (Recital A).</w:t>
      </w:r>
    </w:p>
    <w:p>
      <w:pPr>
        <w:pStyle w:val="ListBullet"/>
      </w:pPr>
      <w:r>
        <w:t>The requirement for the Concessionaire to pay a registration fee and abide by specific terms and conditions implies an initial financial commitment and ongoing compliance costs (Recital C, D).</w:t>
      </w:r>
    </w:p>
    <w:p>
      <w:r>
        <w:t>**BANKABILITY IMPACT:**</w:t>
      </w:r>
    </w:p>
    <w:p>
      <w:pPr>
        <w:pStyle w:val="ListBullet"/>
      </w:pPr>
      <w:r>
        <w:t>From a lender and investor perspective, the clarity in the contract regarding the rights and obligations of the Concessionaire and the Railway Administration enhances enforceability and reduces uncertainty, which is favorable for bankability (Recital F).</w:t>
      </w:r>
    </w:p>
    <w:p>
      <w:pPr>
        <w:pStyle w:val="ListBullet"/>
      </w:pPr>
      <w:r>
        <w:t>The explicit requirement for a Concession Agreement before operations can commence provides a clear legal framework, which is beneficial for risk assessment and management by lenders (Recital E).</w:t>
      </w:r>
    </w:p>
    <w:p>
      <w:r>
        <w:t>**CLAUSE EVIDENCE:**</w:t>
      </w:r>
    </w:p>
    <w:p>
      <w:pPr>
        <w:pStyle w:val="ListBullet"/>
      </w:pPr>
      <w:r>
        <w:t>"With a view to increasing railway's share of container traffic and introducing competition in railway container transport services in India, Ministry of Railways, Government of India decided to grant eligible parties the right to require the Railway Administration to haul their Container trains on Indian Railway network for movement of both Export and Import Traffic (as defined hereafter) as well as Domestic Traffic (as defined hereafter), subject to various terms and conditions." (Recital A)</w:t>
      </w:r>
    </w:p>
    <w:p>
      <w:pPr>
        <w:pStyle w:val="ListBullet"/>
      </w:pPr>
      <w:r>
        <w:t>"The Concessionaire, being a public limited company incorporated under the Companies Act, 1956 submitted a written request to Ministry of Railways (along with the prescribed fees of Rs. 50 crore, in accordance with the requirements set out in Recital C above), conveying its intention to run Container trains on Category I and provided the requisite information and supporting details as sought by Ministry of Railways and further agreed to abide by the terms and conditions laid down in the policy for movement of Container trains on Indian Railways network." (Recital D)</w:t>
      </w:r>
    </w:p>
    <w:p>
      <w:pPr>
        <w:pStyle w:val="ListBullet"/>
      </w:pPr>
      <w:r>
        <w:t>"Pursuant to evaluation of the written request and the supporting documents received from the Concessionaire in relation thereto, Ministry of Railways accepted the request of the Concessionaire and vide letter no. 2002/TT-III/15/39 dated 21.2.2006 granted to the Concessionaire its 'In Principle' approval (hereinafter called 'IPA') to offer its Container trains for movement on Category 1, subject to the Concessionaire entering into this Concession Agreement with Railway Administration prior to commencement of any Container train operations." (Recital E)</w:t>
      </w:r>
    </w:p>
    <w:p>
      <w:pPr>
        <w:pStyle w:val="ListBullet"/>
      </w:pPr>
      <w:r>
        <w:t>"The Parties now wish to enter into this Agreement to set out in detail their mutual relationship and the terms and conditions, which shall govern the right of the Concessionaire to offer its Container trains for movement to Railway Administration in Category 1 and the obligation of Railway Administration to move the trains." (Recital F)</w:t>
      </w:r>
    </w:p>
    <w:p>
      <w:r>
        <w:t>**EVIDENCE_STRENGTH: STRONG**</w:t>
      </w:r>
    </w:p>
    <w:p>
      <w:pPr>
        <w:pStyle w:val="Heading2"/>
      </w:pPr>
      <w:r>
        <w:t>Confidence Assessment</w:t>
      </w:r>
    </w:p>
    <w:p>
      <w:r>
        <w:rPr>
          <w:b/>
        </w:rPr>
        <w:t>Overall Confidence Level: HIGH</w:t>
      </w:r>
    </w:p>
    <w:p>
      <w:r>
        <w:br w:type="page"/>
      </w:r>
    </w:p>
    <w:p>
      <w:pPr>
        <w:pStyle w:val="Heading1"/>
      </w:pPr>
      <w:r>
        <w:t>Scope of Concession &amp; Rights Granted</w:t>
      </w:r>
    </w:p>
    <w:p>
      <w:pPr>
        <w:pStyle w:val="Heading2"/>
      </w:pPr>
      <w:r>
        <w:t>Legal Position</w:t>
      </w:r>
    </w:p>
    <w:p>
      <w:pPr>
        <w:pStyle w:val="ListBullet"/>
      </w:pPr>
      <w:r>
        <w:t>The contract explicitly grants the Concessionaire a non-exclusive right to require the Railway Administration to haul its trains carrying Exim and Domestic Traffic on Category 1 routes (Clause 3.1.1).</w:t>
      </w:r>
    </w:p>
    <w:p>
      <w:pPr>
        <w:pStyle w:val="ListBullet"/>
      </w:pPr>
      <w:r>
        <w:t>The Concessionaire is explicitly restricted from requiring the Railway Administration to haul its trains until it establishes access to Rail Terminals and acquires the minimum number of Wagons, including brake vans, to form a Block Rake (Clause 3.1.2).</w:t>
      </w:r>
    </w:p>
    <w:p>
      <w:pPr>
        <w:pStyle w:val="ListBullet"/>
      </w:pPr>
      <w:r>
        <w:t>The Concessionaire is explicitly granted the right to collect, store, and load goods onto Wagons from third parties, charge and collect fees from consigners, access and develop Rail Terminals, and procure and own/lease Wagons and containers (Clauses 3.1.3.1 to 3.1.3.4).</w:t>
      </w:r>
    </w:p>
    <w:p>
      <w:pPr>
        <w:pStyle w:val="ListBullet"/>
      </w:pPr>
      <w:r>
        <w:t>The Concessionaire may extend operations to new routes/categories with prior written consent from the Railway Administration and by paying the prescribed Registration Fee (Clause 3.2).</w:t>
      </w:r>
    </w:p>
    <w:p>
      <w:pPr>
        <w:pStyle w:val="ListBullet"/>
      </w:pPr>
      <w:r>
        <w:t>The concession is explicitly stated to be non-exclusive, allowing the Railway Administration to grant similar rights to third parties on no more favorable terms (Clause 3.2.1).</w:t>
      </w:r>
    </w:p>
    <w:p>
      <w:pPr>
        <w:pStyle w:val="ListBullet"/>
      </w:pPr>
      <w:r>
        <w:t>The Railway Administration is mandated to haul the Concessionaire's trains upon payment of haulage charges, with the Central Government retaining the right to specify certain commodities as notified commodities subject to different tariffs (Clauses 3.3.1 and 3.3.2).</w:t>
      </w:r>
    </w:p>
    <w:p>
      <w:pPr>
        <w:pStyle w:val="ListBullet"/>
      </w:pPr>
      <w:r>
        <w:t>The Concessionaire is explicitly allowed to encumber its interest in favor of its Lenders, except for property leased/licensed by the Railway Administration (Clause 3.4.1).</w:t>
      </w:r>
    </w:p>
    <w:p>
      <w:pPr>
        <w:pStyle w:val="Heading2"/>
      </w:pPr>
      <w:r>
        <w:t>Economic Implication</w:t>
      </w:r>
    </w:p>
    <w:p>
      <w:pPr>
        <w:pStyle w:val="ListBullet"/>
      </w:pPr>
      <w:r>
        <w:t>The non-exclusive nature of the concession may limit the Concessionaire's market share and competitive advantage, as similar rights can be granted to competitors.</w:t>
      </w:r>
    </w:p>
    <w:p>
      <w:pPr>
        <w:pStyle w:val="ListBullet"/>
      </w:pPr>
      <w:r>
        <w:t>The ability to charge and collect fees from consigners provides a direct revenue stream for the Concessionaire.</w:t>
      </w:r>
    </w:p>
    <w:p>
      <w:pPr>
        <w:pStyle w:val="ListBullet"/>
      </w:pPr>
      <w:r>
        <w:t>The requirement to establish Rail Terminals and acquire Wagons before commencing operations implies significant initial capital investment.</w:t>
      </w:r>
    </w:p>
    <w:p>
      <w:pPr>
        <w:pStyle w:val="ListBullet"/>
      </w:pPr>
      <w:r>
        <w:t>The right to encumber assets enhances the Concessionaire's ability to secure financing, potentially improving liquidity and investment capacity.</w:t>
      </w:r>
    </w:p>
    <w:p>
      <w:pPr>
        <w:pStyle w:val="Heading2"/>
      </w:pPr>
      <w:r>
        <w:t>Bankability Impact</w:t>
      </w:r>
    </w:p>
    <w:p>
      <w:pPr>
        <w:pStyle w:val="ListBullet"/>
      </w:pPr>
      <w:r>
        <w:t>The clarity in rights and obligations, such as the non-exclusive nature and the ability to encumber assets, provides a clear risk allocation, which is favorable for lenders and investors.</w:t>
      </w:r>
    </w:p>
    <w:p>
      <w:pPr>
        <w:pStyle w:val="ListBullet"/>
      </w:pPr>
      <w:r>
        <w:t>The explicit conditions for commencing operations and extending routes provide a structured framework, reducing uncertainty and enhancing the project's bankability.</w:t>
      </w:r>
    </w:p>
    <w:p>
      <w:pPr>
        <w:pStyle w:val="ListBullet"/>
      </w:pPr>
      <w:r>
        <w:t>The non-exclusive concession may be viewed as a risk by investors due to potential competition, impacting revenue projections.</w:t>
      </w:r>
    </w:p>
    <w:p>
      <w:pPr>
        <w:pStyle w:val="Heading2"/>
      </w:pPr>
      <w:r>
        <w:t>Clause Evidence</w:t>
      </w:r>
    </w:p>
    <w:p>
      <w:pPr>
        <w:pStyle w:val="ListBullet"/>
      </w:pPr>
      <w:r>
        <w:t>"Subject to the terms and conditions contained in this Agreement, the Railway Administration hereby grants to the Concessionaire, throughout the duration of this agreement, a non-exclusive right to require the Railway Administration to haul the Concessionaire's Trains carrying Exim Traffic and for Domestic Traffic on Category 1 routes" (Clause 3.1.1).</w:t>
      </w:r>
    </w:p>
    <w:p>
      <w:pPr>
        <w:pStyle w:val="ListBullet"/>
      </w:pPr>
      <w:r>
        <w:t>"The Concessionaire shall not have the right to require Railway Administration to haul any of the Concessionaire's Trains whatsoever pursuant to this Agreement, till such time as the Concessionaire establishes/ensures access to Rail Terminals and maintains the same in accordance with the provisions of Article 4.1 and acquires prescribed/laid down minimum number of Wagons including brake vans to form a Block Rake" (Clause 3.1.2).</w:t>
      </w:r>
    </w:p>
    <w:p>
      <w:pPr>
        <w:pStyle w:val="ListBullet"/>
      </w:pPr>
      <w:r>
        <w:t>"The rights of the Concessionaire shall include the following: The right to undertake the business of collecting, storing and loading ento Wagons, consignments of goods from any third party; The right to determine, charge, collect, retain and appropriate all the fees that it charges from the consigners; The right to obtain access to Rail Terminals and develop, own, operate and maintain Rail Terminals, including inland container depots; The right to procure and own/lease Wagons and containers" (Clauses 3.1.3.1 to 3.1.3.4).</w:t>
      </w:r>
    </w:p>
    <w:p>
      <w:pPr>
        <w:pStyle w:val="ListBullet"/>
      </w:pPr>
      <w:r>
        <w:t>"The Concessionaire may, with prior written consent of Railway Administration, add any or all other categories of routes for operation of its container trains by paying the prescribed Registration Fee or the differential thereof" (Clause 3.2).</w:t>
      </w:r>
    </w:p>
    <w:p>
      <w:pPr>
        <w:pStyle w:val="ListBullet"/>
      </w:pPr>
      <w:r>
        <w:t>"The Parties hereby expressly acknowledge and agree that the aforesaid Concession is on a non-exclusive basis and that Railway Administration expressly reserves the right to give to any third party, on terms and conditions no more favourable than those offered to the Concessionaire, a right similar to the Concession to require Railway Administration to haul such third party Container Trains on Category 1 routes" (Clause 3.2.1).</w:t>
      </w:r>
    </w:p>
    <w:p>
      <w:pPr>
        <w:pStyle w:val="ListBullet"/>
      </w:pPr>
      <w:r>
        <w:t>"The Railway Administration shall hand the Concessionaire Trains on the payment of prevalent haulage charges and conditions laid down in Article 10 of this Agreement" (Clause 3.3.1).</w:t>
      </w:r>
    </w:p>
    <w:p>
      <w:pPr>
        <w:pStyle w:val="ListBullet"/>
      </w:pPr>
      <w:r>
        <w:t>"The Central Government shall have the right to specify certain commodities, which ordinarily move in railway wagons in trainload as notified commodities, and such commodities may be subjected to different tariff and conditions for haulage" (Clause 3.3.2).</w:t>
      </w:r>
    </w:p>
    <w:p>
      <w:pPr>
        <w:pStyle w:val="ListBullet"/>
      </w:pPr>
      <w:r>
        <w:t>"Nothing in this Agreement shall prohibit or in any way preclude the ability or right of the Concessionaire to Encumber its interest in favour of its Lenders, any Rail Terminals owned by the Concessionaire or held by it on lease or licence, the Concessionaire's Wagons, this Agreement including but not limited to the Grant provided hereunder or any other asset owned by the Concessionaire and forming part of Its rolling stock, provided that no property which has been leased/licensed by Railway Administration to the Concessionaire shall be Encumbered by the Concessionaire at any time during the term of this Agreement" (Clause 3.4.1).</w:t>
      </w:r>
    </w:p>
    <w:p>
      <w:pPr>
        <w:pStyle w:val="Heading2"/>
      </w:pPr>
      <w:r>
        <w:t>Evidence Strength</w:t>
      </w:r>
    </w:p>
    <w:p>
      <w:r>
        <w:rPr>
          <w:b/>
        </w:rPr>
        <w:t>STRONG</w:t>
      </w:r>
    </w:p>
    <w:p>
      <w:pPr>
        <w:pStyle w:val="Heading2"/>
      </w:pPr>
      <w:r>
        <w:t>Confidence Assessment</w:t>
      </w:r>
    </w:p>
    <w:p>
      <w:r>
        <w:rPr>
          <w:b/>
        </w:rPr>
        <w:t>Overall Confidence Level: HIGH</w:t>
      </w:r>
    </w:p>
    <w:p>
      <w:r>
        <w:br w:type="page"/>
      </w:r>
    </w:p>
    <w:p>
      <w:pPr>
        <w:pStyle w:val="Heading1"/>
      </w:pPr>
      <w:r>
        <w:t>Asset Ownership &amp; Control</w:t>
      </w:r>
    </w:p>
    <w:p>
      <w:pPr>
        <w:pStyle w:val="Heading2"/>
      </w:pPr>
      <w:r>
        <w:t>Legal Position</w:t>
      </w:r>
    </w:p>
    <w:p>
      <w:pPr>
        <w:pStyle w:val="ListBullet"/>
      </w:pPr>
      <w:r>
        <w:t>The contract explicitly allows the Concessionaire to procure and own/lease Wagons and containers (Clause 3.1.3.4).</w:t>
      </w:r>
    </w:p>
    <w:p>
      <w:pPr>
        <w:pStyle w:val="ListBullet"/>
      </w:pPr>
      <w:r>
        <w:t>The Concessionaire has the right to develop, own, operate, and maintain Rail Terminals, including inland container depots (Clause 3.1.3.3).</w:t>
      </w:r>
    </w:p>
    <w:p>
      <w:pPr>
        <w:pStyle w:val="ListBullet"/>
      </w:pPr>
      <w:r>
        <w:t>The Concessionaire is permitted to encumber its interest in favor of its Lenders, including any Rail Terminals owned by the Concessionaire or held by it on lease or license, the Concessionaire's Wagons, and this Agreement, provided that no property leased/licensed by Railway Administration to the Concessionaire shall be encumbered (Clause 3.4.1).</w:t>
      </w:r>
    </w:p>
    <w:p>
      <w:pPr>
        <w:pStyle w:val="ListBullet"/>
      </w:pPr>
      <w:r>
        <w:t>The Railway Administration has the right to assume control and make use of the Concessionaire's Wagons temporarily during an Emergency (Clause 5.5.1).</w:t>
      </w:r>
    </w:p>
    <w:p>
      <w:pPr>
        <w:pStyle w:val="Heading2"/>
      </w:pPr>
      <w:r>
        <w:t>Economic Implication</w:t>
      </w:r>
    </w:p>
    <w:p>
      <w:pPr>
        <w:pStyle w:val="ListBullet"/>
      </w:pPr>
      <w:r>
        <w:t>The Concessionaire's ability to own and lease assets such as Wagons and Rail Terminals provides it with the flexibility to manage its operations and financial arrangements effectively.</w:t>
      </w:r>
    </w:p>
    <w:p>
      <w:pPr>
        <w:pStyle w:val="ListBullet"/>
      </w:pPr>
      <w:r>
        <w:t>The right to encumber assets allows the Concessionaire to secure financing, which can be crucial for capital-intensive infrastructure projects.</w:t>
      </w:r>
    </w:p>
    <w:p>
      <w:pPr>
        <w:pStyle w:val="ListBullet"/>
      </w:pPr>
      <w:r>
        <w:t>The Railway Administration's right to use the Concessionaire's Wagons during emergencies could impact the Concessionaire's operational capacity and financial returns during such periods.</w:t>
      </w:r>
    </w:p>
    <w:p>
      <w:pPr>
        <w:pStyle w:val="Heading2"/>
      </w:pPr>
      <w:r>
        <w:t>Bankability Impact</w:t>
      </w:r>
    </w:p>
    <w:p>
      <w:pPr>
        <w:pStyle w:val="ListBullet"/>
      </w:pPr>
      <w:r>
        <w:t>The clear rights to own, lease, and encumber assets enhance the bankability of the project by providing lenders with security over tangible assets.</w:t>
      </w:r>
    </w:p>
    <w:p>
      <w:pPr>
        <w:pStyle w:val="ListBullet"/>
      </w:pPr>
      <w:r>
        <w:t>The provision allowing Railway Administration to use Wagons during emergencies introduces a potential operational risk, which may concern lenders regarding the uninterrupted use of assets.</w:t>
      </w:r>
    </w:p>
    <w:p>
      <w:pPr>
        <w:pStyle w:val="ListBullet"/>
      </w:pPr>
      <w:r>
        <w:t>Overall, the clarity in asset ownership and control provisions is likely to be viewed positively by investors and lenders, provided the risks associated with emergency use are adequately mitigated.</w:t>
      </w:r>
    </w:p>
    <w:p>
      <w:pPr>
        <w:pStyle w:val="Heading2"/>
      </w:pPr>
      <w:r>
        <w:t>Clause Evidence</w:t>
      </w:r>
    </w:p>
    <w:p>
      <w:pPr>
        <w:pStyle w:val="ListBullet"/>
      </w:pPr>
      <w:r>
        <w:t>"The right to procure and own/lease Wagons and containers." (Clause 3.1.3.4)</w:t>
      </w:r>
    </w:p>
    <w:p>
      <w:pPr>
        <w:pStyle w:val="ListBullet"/>
      </w:pPr>
      <w:r>
        <w:t>"The right to develop, own, operate and maintain Rail Terminals, including inland container depots." (Clause 3.1.3.3)</w:t>
      </w:r>
    </w:p>
    <w:p>
      <w:pPr>
        <w:pStyle w:val="ListBullet"/>
      </w:pPr>
      <w:r>
        <w:t>"Nothing in this Agreement shall prohibit or in any way preclude the ability or right of the Concessionaire to Encumber its interest in favour of its Lenders, any Rail Terminals owned by the Concessionaire or held by it on lease or licence, the Concessionaire's Wagons, this Agreement..." (Clause 3.4.1)</w:t>
      </w:r>
    </w:p>
    <w:p>
      <w:pPr>
        <w:pStyle w:val="ListBullet"/>
      </w:pPr>
      <w:r>
        <w:t>"Railway Administration, shall have the right, to temporarily (for the duration of the emergency event and any effect thereof) assume control and make use of the Wagons of the Concessionaire..." (Clause 5.5.1)</w:t>
      </w:r>
    </w:p>
    <w:p>
      <w:pPr>
        <w:pStyle w:val="Heading2"/>
      </w:pPr>
      <w:r>
        <w:t>Evidence Strength</w:t>
      </w:r>
    </w:p>
    <w:p>
      <w:r>
        <w:rPr>
          <w:b/>
        </w:rPr>
        <w:t>STRONG</w:t>
      </w:r>
    </w:p>
    <w:p>
      <w:pPr>
        <w:pStyle w:val="Heading2"/>
      </w:pPr>
      <w:r>
        <w:t>Confidence Assessment</w:t>
      </w:r>
    </w:p>
    <w:p>
      <w:r>
        <w:rPr>
          <w:b/>
        </w:rPr>
        <w:t>Overall Confidence Level: HIGH</w:t>
      </w:r>
    </w:p>
    <w:p>
      <w:r>
        <w:br w:type="page"/>
      </w:r>
    </w:p>
    <w:p>
      <w:pPr>
        <w:pStyle w:val="Heading1"/>
      </w:pPr>
      <w:r>
        <w:t>Regulatory &amp; Operational Compliance</w:t>
      </w:r>
    </w:p>
    <w:p>
      <w:pPr>
        <w:pStyle w:val="Heading2"/>
      </w:pPr>
      <w:r>
        <w:t>Legal Position</w:t>
      </w:r>
    </w:p>
    <w:p>
      <w:pPr>
        <w:pStyle w:val="ListBullet"/>
      </w:pPr>
      <w:r>
        <w:t>The contract explicitly mandates the Concessionaire to comply with all Applicable Laws and Applicable Permits as per Article 16.2.1(a).</w:t>
      </w:r>
    </w:p>
    <w:p>
      <w:pPr>
        <w:pStyle w:val="ListBullet"/>
      </w:pPr>
      <w:r>
        <w:t>The Concessionaire is required to maintain accurate, up-to-date, and complete records relating to its Container train operations as per Article 8.1(xiv).</w:t>
      </w:r>
    </w:p>
    <w:p>
      <w:pPr>
        <w:pStyle w:val="ListBullet"/>
      </w:pPr>
      <w:r>
        <w:t>The Concessionaire must ensure that its operations conform with the siding rules prescribed by the Railway Administration and any statutory requirements specified by any Government Authority as per Article 4.2(iv).</w:t>
      </w:r>
    </w:p>
    <w:p>
      <w:pPr>
        <w:pStyle w:val="ListBullet"/>
      </w:pPr>
      <w:r>
        <w:t>The Concessionaire is obligated to allow Railway Administration representatives to inspect documents related to container train operations as per Article 8.1(xvi).</w:t>
      </w:r>
    </w:p>
    <w:p>
      <w:pPr>
        <w:pStyle w:val="ListBullet"/>
      </w:pPr>
      <w:r>
        <w:t>The Concessionaire must undertake regular calibration and certification of weigh bridges as per Applicable Laws as per Article 4.2(iii).</w:t>
      </w:r>
    </w:p>
    <w:p>
      <w:pPr>
        <w:pStyle w:val="ListBullet"/>
      </w:pPr>
      <w:r>
        <w:t>The contract is silent on specific penalties or consequences for non-compliance with regulatory and operational requirements.</w:t>
      </w:r>
    </w:p>
    <w:p>
      <w:pPr>
        <w:pStyle w:val="Heading2"/>
      </w:pPr>
      <w:r>
        <w:t>Economic Implication</w:t>
      </w:r>
    </w:p>
    <w:p>
      <w:pPr>
        <w:pStyle w:val="ListBullet"/>
      </w:pPr>
      <w:r>
        <w:t>Compliance with all Applicable Laws and Permits may involve significant costs for the Concessionaire, impacting its operational budget.</w:t>
      </w:r>
    </w:p>
    <w:p>
      <w:pPr>
        <w:pStyle w:val="ListBullet"/>
      </w:pPr>
      <w:r>
        <w:t>The requirement to maintain detailed records and allow inspections ensures transparency but may increase administrative overheads.</w:t>
      </w:r>
    </w:p>
    <w:p>
      <w:pPr>
        <w:pStyle w:val="ListBullet"/>
      </w:pPr>
      <w:r>
        <w:t>Regular calibration and certification of equipment ensure operational accuracy, potentially reducing disputes over weight discrepancies and associated penalties.</w:t>
      </w:r>
    </w:p>
    <w:p>
      <w:pPr>
        <w:pStyle w:val="Heading2"/>
      </w:pPr>
      <w:r>
        <w:t>Bankability Impact</w:t>
      </w:r>
    </w:p>
    <w:p>
      <w:pPr>
        <w:pStyle w:val="ListBullet"/>
      </w:pPr>
      <w:r>
        <w:t>From a lender and investor perspective, the explicit compliance requirements enhance the project's credibility and reduce regulatory risk, potentially improving bankability.</w:t>
      </w:r>
    </w:p>
    <w:p>
      <w:pPr>
        <w:pStyle w:val="ListBullet"/>
      </w:pPr>
      <w:r>
        <w:t>The absence of detailed penalties for non-compliance introduces some uncertainty, which may be viewed as a risk by lenders and investors.</w:t>
      </w:r>
    </w:p>
    <w:p>
      <w:pPr>
        <w:pStyle w:val="ListBullet"/>
      </w:pPr>
      <w:r>
        <w:t>The enforceability of compliance obligations, supported by the right of inspection, provides a level of assurance to lenders regarding operational integrity.</w:t>
      </w:r>
    </w:p>
    <w:p>
      <w:pPr>
        <w:pStyle w:val="Heading2"/>
      </w:pPr>
      <w:r>
        <w:t>Clause Evidence</w:t>
      </w:r>
    </w:p>
    <w:p>
      <w:pPr>
        <w:pStyle w:val="ListBullet"/>
      </w:pPr>
      <w:r>
        <w:t>"The Concessionaire shall fully indemnify, hold harmless and defend Railway Administration... failure of the Concessionaire to comply with Applicable Laws and Applicable Permits;" (Article 16.2.1(a))</w:t>
      </w:r>
    </w:p>
    <w:p>
      <w:pPr>
        <w:pStyle w:val="ListBullet"/>
      </w:pPr>
      <w:r>
        <w:t>"Maintain accurate, up-to-date and complete records relating to Concessionaire's Container train operations." (Article 8.1(xiv))</w:t>
      </w:r>
    </w:p>
    <w:p>
      <w:pPr>
        <w:pStyle w:val="ListBullet"/>
      </w:pPr>
      <w:r>
        <w:t>"Conform with the Applicable Law and any and all statutory requirements specified by any Government Authority." (Article 4.2(iv))</w:t>
      </w:r>
    </w:p>
    <w:p>
      <w:pPr>
        <w:pStyle w:val="ListBullet"/>
      </w:pPr>
      <w:r>
        <w:t>"Allow, any time and from time to time, representatives of Railway Administration to enter upon its premises... to inspect any and all documents pertaining to any container train related operations..." (Article 8.1(xvi))</w:t>
      </w:r>
    </w:p>
    <w:p>
      <w:pPr>
        <w:pStyle w:val="ListBullet"/>
      </w:pPr>
      <w:r>
        <w:t>"Undertake regular calibration and certification of the weigh bridges as per Applicable Laws." (Article 4.2(iii))</w:t>
      </w:r>
    </w:p>
    <w:p>
      <w:pPr>
        <w:pStyle w:val="Heading2"/>
      </w:pPr>
      <w:r>
        <w:t>Evidence Strength</w:t>
      </w:r>
    </w:p>
    <w:p>
      <w:r>
        <w:rPr>
          <w:b/>
        </w:rPr>
        <w:t>STRONG</w:t>
      </w:r>
    </w:p>
    <w:p>
      <w:pPr>
        <w:pStyle w:val="Heading2"/>
      </w:pPr>
      <w:r>
        <w:t>Confidence Assessment</w:t>
      </w:r>
    </w:p>
    <w:p>
      <w:r>
        <w:rPr>
          <w:b/>
        </w:rPr>
        <w:t>Overall Confidence Level: HIGH</w:t>
      </w:r>
    </w:p>
    <w:p>
      <w:r>
        <w:br w:type="page"/>
      </w:r>
    </w:p>
    <w:p>
      <w:pPr>
        <w:pStyle w:val="Heading1"/>
      </w:pPr>
      <w:r>
        <w:t>Concession Period &amp; Extension</w:t>
      </w:r>
    </w:p>
    <w:p>
      <w:pPr>
        <w:pStyle w:val="Heading2"/>
      </w:pPr>
      <w:r>
        <w:t>Legal Position</w:t>
      </w:r>
    </w:p>
    <w:p>
      <w:pPr>
        <w:pStyle w:val="ListBullet"/>
      </w:pPr>
      <w:r>
        <w:t>The contract explicitly allows for a concession period that is defined by the terms of the agreement, but the specific duration of the concession period is not detailed in the provided excerpts.</w:t>
      </w:r>
    </w:p>
    <w:p>
      <w:pPr>
        <w:pStyle w:val="ListBullet"/>
      </w:pPr>
      <w:r>
        <w:t>There is no explicit clause detailing the conditions or process for extending the concession period.</w:t>
      </w:r>
    </w:p>
    <w:p>
      <w:pPr>
        <w:pStyle w:val="ListBullet"/>
      </w:pPr>
      <w:r>
        <w:t>The contract is silent on any specific procedures or conditions for the extension of the concession period.</w:t>
      </w:r>
    </w:p>
    <w:p>
      <w:pPr>
        <w:pStyle w:val="Heading2"/>
      </w:pPr>
      <w:r>
        <w:t>Economic Implication</w:t>
      </w:r>
    </w:p>
    <w:p>
      <w:pPr>
        <w:pStyle w:val="ListBullet"/>
      </w:pPr>
      <w:r>
        <w:t>The absence of explicit terms regarding the extension of the concession period may lead to uncertainty in long-term financial planning for the Concessionaire.</w:t>
      </w:r>
    </w:p>
    <w:p>
      <w:pPr>
        <w:pStyle w:val="ListBullet"/>
      </w:pPr>
      <w:r>
        <w:t>Without clear extension terms, the Concessionaire may face challenges in securing long-term investments or financing, as the duration of revenue generation is uncertain.</w:t>
      </w:r>
    </w:p>
    <w:p>
      <w:pPr>
        <w:pStyle w:val="Heading2"/>
      </w:pPr>
      <w:r>
        <w:t>Bankability Impact</w:t>
      </w:r>
    </w:p>
    <w:p>
      <w:pPr>
        <w:pStyle w:val="ListBullet"/>
      </w:pPr>
      <w:r>
        <w:t>From a lender and investor perspective, the lack of clarity and explicit terms regarding the concession period and its extension could be seen as a risk factor.</w:t>
      </w:r>
    </w:p>
    <w:p>
      <w:pPr>
        <w:pStyle w:val="ListBullet"/>
      </w:pPr>
      <w:r>
        <w:t>The uncertainty surrounding the duration and potential extension of the concession period may affect the project's attractiveness to investors and lenders, potentially impacting the terms of financing or investment.</w:t>
      </w:r>
    </w:p>
    <w:p>
      <w:pPr>
        <w:pStyle w:val="Heading2"/>
      </w:pPr>
      <w:r>
        <w:t>Clause Evidence</w:t>
      </w:r>
    </w:p>
    <w:p>
      <w:pPr>
        <w:pStyle w:val="ListBullet"/>
      </w:pPr>
      <w:r>
        <w:t>The document does not provide specific clauses or articles related to the concession period or its extension in the provided excerpts.</w:t>
      </w:r>
    </w:p>
    <w:p>
      <w:pPr>
        <w:pStyle w:val="Heading2"/>
      </w:pPr>
      <w:r>
        <w:t>Evidence Strength</w:t>
      </w:r>
    </w:p>
    <w:p>
      <w:r>
        <w:rPr>
          <w:b/>
        </w:rPr>
        <w:t>NONE</w:t>
      </w:r>
    </w:p>
    <w:p>
      <w:pPr>
        <w:pStyle w:val="Heading2"/>
      </w:pPr>
      <w:r>
        <w:t>Document Context</w:t>
      </w:r>
    </w:p>
    <w:p>
      <w:r>
        <w:t>The provided document excerpts do not include specific information regarding the concession period or its extension, focusing instead on other operational and legal aspects of the agreement.</w:t>
      </w:r>
    </w:p>
    <w:p>
      <w:pPr>
        <w:pStyle w:val="Heading2"/>
      </w:pPr>
      <w:r>
        <w:t>Confidence Assessment</w:t>
      </w:r>
    </w:p>
    <w:p>
      <w:r>
        <w:rPr>
          <w:b/>
        </w:rPr>
        <w:t>Overall Confidence Level: LOW</w:t>
      </w:r>
    </w:p>
    <w:p>
      <w:r>
        <w:br w:type="page"/>
      </w:r>
    </w:p>
    <w:p>
      <w:pPr>
        <w:pStyle w:val="Heading1"/>
      </w:pPr>
      <w:r>
        <w:t>Tariff &amp; Revenue Flexibility</w:t>
      </w:r>
    </w:p>
    <w:p>
      <w:pPr>
        <w:pStyle w:val="Heading2"/>
      </w:pPr>
      <w:r>
        <w:t>Legal Position</w:t>
      </w:r>
    </w:p>
    <w:p>
      <w:pPr>
        <w:pStyle w:val="ListBullet"/>
      </w:pPr>
      <w:r>
        <w:t>The contract explicitly allows the Concessionaire to determine, charge, collect, retain, and appropriate all fees charged from consigners (Clause 3.1.3.2).</w:t>
      </w:r>
    </w:p>
    <w:p>
      <w:pPr>
        <w:pStyle w:val="ListBullet"/>
      </w:pPr>
      <w:r>
        <w:t>The Concessionaire acknowledges and agrees to pay haulage charges to the Railway Administration at rates prescribed by the Railway Administration, which are applicable uniformly (Article 10.1).</w:t>
      </w:r>
    </w:p>
    <w:p>
      <w:pPr>
        <w:pStyle w:val="ListBullet"/>
      </w:pPr>
      <w:r>
        <w:t>The Central Government retains the right to specify certain commodities as notified commodities, which may be subject to different tariffs and conditions for haulage (Article 3.3.2).</w:t>
      </w:r>
    </w:p>
    <w:p>
      <w:pPr>
        <w:pStyle w:val="ListBullet"/>
      </w:pPr>
      <w:r>
        <w:t>The contract is silent on any explicit provisions for tariff adjustment mechanisms or revenue-sharing arrangements beyond the specified haulage charges and notified commodities.</w:t>
      </w:r>
    </w:p>
    <w:p>
      <w:pPr>
        <w:pStyle w:val="Heading2"/>
      </w:pPr>
      <w:r>
        <w:t>Economic Implication</w:t>
      </w:r>
    </w:p>
    <w:p>
      <w:pPr>
        <w:pStyle w:val="ListBullet"/>
      </w:pPr>
      <w:r>
        <w:t>The Concessionaire has the flexibility to set and collect fees from its customers, which allows for potential revenue optimization based on market conditions.</w:t>
      </w:r>
    </w:p>
    <w:p>
      <w:pPr>
        <w:pStyle w:val="ListBullet"/>
      </w:pPr>
      <w:r>
        <w:t>The obligation to pay haulage charges as prescribed by the Railway Administration introduces a fixed cost element, which may impact profitability if the Concessionaire cannot pass these costs onto customers.</w:t>
      </w:r>
    </w:p>
    <w:p>
      <w:pPr>
        <w:pStyle w:val="ListBullet"/>
      </w:pPr>
      <w:r>
        <w:t>The ability of the Central Government to specify different tariffs for certain commodities introduces a potential variable cost element that could affect revenue predictability.</w:t>
      </w:r>
    </w:p>
    <w:p>
      <w:pPr>
        <w:pStyle w:val="Heading2"/>
      </w:pPr>
      <w:r>
        <w:t>Bankability Impact</w:t>
      </w:r>
    </w:p>
    <w:p>
      <w:pPr>
        <w:pStyle w:val="ListBullet"/>
      </w:pPr>
      <w:r>
        <w:t>From a lender and investor perspective, the clarity in the Concessionaire's right to set and collect fees is positive for revenue generation potential.</w:t>
      </w:r>
    </w:p>
    <w:p>
      <w:pPr>
        <w:pStyle w:val="ListBullet"/>
      </w:pPr>
      <w:r>
        <w:t>The fixed nature of haulage charges provides predictability in cost structure, but the lack of explicit tariff adjustment mechanisms may pose a risk if market conditions change unfavorably.</w:t>
      </w:r>
    </w:p>
    <w:p>
      <w:pPr>
        <w:pStyle w:val="ListBullet"/>
      </w:pPr>
      <w:r>
        <w:t>The potential for government-specified tariffs on certain commodities introduces an element of regulatory risk, which could affect revenue stability and predictability.</w:t>
      </w:r>
    </w:p>
    <w:p>
      <w:pPr>
        <w:pStyle w:val="Heading2"/>
      </w:pPr>
      <w:r>
        <w:t>Clause Evidence</w:t>
      </w:r>
    </w:p>
    <w:p>
      <w:pPr>
        <w:pStyle w:val="ListBullet"/>
      </w:pPr>
      <w:r>
        <w:t>"The right to determine, charge, collect, retain and appropriate all the fees that it charges from the consigners;" (Clause 3.1.3.2)</w:t>
      </w:r>
    </w:p>
    <w:p>
      <w:pPr>
        <w:pStyle w:val="ListBullet"/>
      </w:pPr>
      <w:r>
        <w:t>"The Concessionaire hereby acknowledges and agrees to pay to Railway Administration...charges for haulage by Railway Administration of the Concessionaire's Trains at such rates as prescribed by Railway Administration from time to time and applicable uniformly..." (Article 10.1)</w:t>
      </w:r>
    </w:p>
    <w:p>
      <w:pPr>
        <w:pStyle w:val="ListBullet"/>
      </w:pPr>
      <w:r>
        <w:t>"Notwithstanding anything contained in Article 3.3.1 or elsewhere in this Agreement, the Central Government shall have the right to specify certain commodities, which ordinarily move in railway wagons in trainload as notified commodities, and such commodities may be subjected to different tariff and conditions for haulage." (Article 3.3.2)</w:t>
      </w:r>
    </w:p>
    <w:p>
      <w:pPr>
        <w:pStyle w:val="Heading2"/>
      </w:pPr>
      <w:r>
        <w:t>Evidence Strength</w:t>
      </w:r>
    </w:p>
    <w:p>
      <w:r>
        <w:rPr>
          <w:b/>
        </w:rPr>
        <w:t>STRONG</w:t>
      </w:r>
    </w:p>
    <w:p>
      <w:pPr>
        <w:pStyle w:val="Heading2"/>
      </w:pPr>
      <w:r>
        <w:t>Confidence Assessment</w:t>
      </w:r>
    </w:p>
    <w:p>
      <w:r>
        <w:rPr>
          <w:b/>
        </w:rPr>
        <w:t>Overall Confidence Level: HIGH</w:t>
      </w:r>
    </w:p>
    <w:p>
      <w:r>
        <w:br w:type="page"/>
      </w:r>
    </w:p>
    <w:p>
      <w:pPr>
        <w:pStyle w:val="Heading1"/>
      </w:pPr>
      <w:r>
        <w:t>Demand &amp; Traffic Risk Allocation</w:t>
      </w:r>
    </w:p>
    <w:p>
      <w:r>
        <w:t>**SECTION: Demand &amp; Traffic Risk Allocation**</w:t>
      </w:r>
    </w:p>
    <w:p>
      <w:r>
        <w:t>**LEGAL POSITION:**</w:t>
      </w:r>
    </w:p>
    <w:p>
      <w:pPr>
        <w:pStyle w:val="ListBullet"/>
      </w:pPr>
      <w:r>
        <w:t>The contract is silent on explicit clauses directly addressing the allocation of demand and traffic risk between the parties. There are no specific provisions that outline how demand fluctuations or traffic risks are to be managed or allocated between the Railway Administration and the Concessionaire.</w:t>
      </w:r>
    </w:p>
    <w:p>
      <w:r>
        <w:t>**ECONOMIC IMPLICATION:**</w:t>
      </w:r>
    </w:p>
    <w:p>
      <w:pPr>
        <w:pStyle w:val="ListBullet"/>
      </w:pPr>
      <w:r>
        <w:t>Due to the absence of explicit clauses on demand and traffic risk allocation, the economic implications are unclear. The Concessionaire may face uncertainty regarding how demand fluctuations could impact their operations and financial obligations, as there is no documented mechanism for risk-sharing or mitigation.</w:t>
      </w:r>
    </w:p>
    <w:p>
      <w:r>
        <w:t>**BANKABILITY IMPACT:**</w:t>
      </w:r>
    </w:p>
    <w:p>
      <w:pPr>
        <w:pStyle w:val="ListBullet"/>
      </w:pPr>
      <w:r>
        <w:t>From a lender and investor perspective, the absence of clear risk allocation for demand and traffic could be seen as a risk factor. The lack of explicit provisions may lead to uncertainty in revenue projections and financial stability, potentially affecting the bankability of the project. Lenders may require additional assurances or risk mitigation strategies to compensate for this gap.</w:t>
      </w:r>
    </w:p>
    <w:p>
      <w:r>
        <w:t>**CLAUSE EVIDENCE:**</w:t>
      </w:r>
    </w:p>
    <w:p>
      <w:pPr>
        <w:pStyle w:val="ListBullet"/>
      </w:pPr>
      <w:r>
        <w:t>The document does not contain any verbatim excerpts or specific clauses related to demand and traffic risk allocation.</w:t>
      </w:r>
    </w:p>
    <w:p>
      <w:r>
        <w:t>**EVIDENCE_STRENGTH: NONE**</w:t>
      </w:r>
    </w:p>
    <w:p>
      <w:pPr>
        <w:pStyle w:val="Heading2"/>
      </w:pPr>
      <w:r>
        <w:t>Confidence Assessment</w:t>
      </w:r>
    </w:p>
    <w:p>
      <w:r>
        <w:rPr>
          <w:b/>
        </w:rPr>
        <w:t>Overall Confidence Level: LOW</w:t>
      </w:r>
    </w:p>
    <w:p>
      <w:r>
        <w:br w:type="page"/>
      </w:r>
    </w:p>
    <w:p>
      <w:pPr>
        <w:pStyle w:val="Heading1"/>
      </w:pPr>
      <w:r>
        <w:t>Change in Law &amp; Policy Risk</w:t>
      </w:r>
    </w:p>
    <w:p>
      <w:pPr>
        <w:pStyle w:val="Heading2"/>
      </w:pPr>
      <w:r>
        <w:t>Legal Position</w:t>
      </w:r>
    </w:p>
    <w:p>
      <w:pPr>
        <w:pStyle w:val="ListBullet"/>
      </w:pPr>
      <w:r>
        <w:t>The contract explicitly defines "Change in Law" as the enactment of new Indian law, repeal, modification, or re-enactment of existing Indian law, commencement of any Indian law not in effect until the date of application, or a change in interpretation/application of Indian law by a final judgment of a court (Clause: "Change in Law").</w:t>
      </w:r>
    </w:p>
    <w:p>
      <w:pPr>
        <w:pStyle w:val="ListBullet"/>
      </w:pPr>
      <w:r>
        <w:t>It explicitly excludes changes in tax or tax-related laws, including changes in tax rates, levy, or cess, from being considered a "Change in Law" (Clause: "Change in Law").</w:t>
      </w:r>
    </w:p>
    <w:p>
      <w:pPr>
        <w:pStyle w:val="ListBullet"/>
      </w:pPr>
      <w:r>
        <w:t>The contract is silent on specific remedies or compensations for the Concessionaire in the event of a "Change in Law" affecting its operations.</w:t>
      </w:r>
    </w:p>
    <w:p>
      <w:pPr>
        <w:pStyle w:val="Heading2"/>
      </w:pPr>
      <w:r>
        <w:t>Economic Implication</w:t>
      </w:r>
    </w:p>
    <w:p>
      <w:pPr>
        <w:pStyle w:val="ListBullet"/>
      </w:pPr>
      <w:r>
        <w:t>The exclusion of tax changes from the definition of "Change in Law" implies that the Concessionaire bears the economic risk of any tax increases, which could affect its cost structure and pricing strategy.</w:t>
      </w:r>
    </w:p>
    <w:p>
      <w:pPr>
        <w:pStyle w:val="ListBullet"/>
      </w:pPr>
      <w:r>
        <w:t>The lack of explicit remedies for "Change in Law" may lead to financial uncertainty for the Concessionaire if such changes adversely impact its ability to operate or increase operational costs.</w:t>
      </w:r>
    </w:p>
    <w:p>
      <w:pPr>
        <w:pStyle w:val="Heading2"/>
      </w:pPr>
      <w:r>
        <w:t>Bankability Impact</w:t>
      </w:r>
    </w:p>
    <w:p>
      <w:pPr>
        <w:pStyle w:val="ListBullet"/>
      </w:pPr>
      <w:r>
        <w:t>From a lender and investor perspective, the clarity in defining "Change in Law" is positive, but the exclusion of tax changes and absence of explicit remedies for other changes may be seen as increasing the Concessionaire's risk exposure.</w:t>
      </w:r>
    </w:p>
    <w:p>
      <w:pPr>
        <w:pStyle w:val="ListBullet"/>
      </w:pPr>
      <w:r>
        <w:t>The contract's silence on compensatory mechanisms for "Change in Law" could be a concern for bankability, as it leaves the Concessionaire vulnerable to legislative changes without guaranteed recourse.</w:t>
      </w:r>
    </w:p>
    <w:p>
      <w:pPr>
        <w:pStyle w:val="Heading2"/>
      </w:pPr>
      <w:r>
        <w:t>Clause Evidence</w:t>
      </w:r>
    </w:p>
    <w:p>
      <w:pPr>
        <w:pStyle w:val="ListBullet"/>
      </w:pPr>
      <w:r>
        <w:t>"Change in Law" means the occurrence of any of the following after the date hereof: (a) The enactment of any new Indian law; (b) Repeal, modification or re-enactment of any existing Indian law; (c) The commencement of any Indian law which has not entered into effect until the date of application; or (d) A change in the interpretation or application of any Indian law by a judgment of a court of record which has become final, conclusive and binding, as compared to such interpretation or application by a court of record prior to the date of application.</w:t>
      </w:r>
    </w:p>
    <w:p>
      <w:pPr>
        <w:pStyle w:val="ListBullet"/>
      </w:pPr>
      <w:r>
        <w:t>For the avoidance of doubt it is hereby expressly clarified that any change in any tax or tax-related laws, including change in any tax rates, levy, cess shall not amount to a Change in Law for the purposes of this Agreement and the Concessionaire may, in its discretion, pass on the impact thereof to its customers.</w:t>
      </w:r>
    </w:p>
    <w:p>
      <w:pPr>
        <w:pStyle w:val="Heading2"/>
      </w:pPr>
      <w:r>
        <w:t>Evidence Strength</w:t>
      </w:r>
    </w:p>
    <w:p>
      <w:r>
        <w:rPr>
          <w:b/>
        </w:rPr>
        <w:t>STRONG</w:t>
      </w:r>
    </w:p>
    <w:p>
      <w:pPr>
        <w:pStyle w:val="Heading2"/>
      </w:pPr>
      <w:r>
        <w:t>Confidence Assessment</w:t>
      </w:r>
    </w:p>
    <w:p>
      <w:r>
        <w:rPr>
          <w:b/>
        </w:rPr>
        <w:t>Overall Confidence Level: HIGH</w:t>
      </w:r>
    </w:p>
    <w:p>
      <w:r>
        <w:br w:type="page"/>
      </w:r>
    </w:p>
    <w:p>
      <w:pPr>
        <w:pStyle w:val="Heading1"/>
      </w:pPr>
      <w:r>
        <w:t>Relief Structure</w:t>
      </w:r>
    </w:p>
    <w:p>
      <w:pPr>
        <w:pStyle w:val="Heading2"/>
      </w:pPr>
      <w:r>
        <w:t>Legal Position</w:t>
      </w:r>
    </w:p>
    <w:p>
      <w:pPr>
        <w:pStyle w:val="ListBullet"/>
      </w:pPr>
      <w:r>
        <w:t>The contract explicitly allows for relief in the event of a Force Majeure, which includes Non-Political Events, Indirect Political Events, and Political Events, as defined in Articles 15.2, 15.3, and 15.4. The relief is conditional upon the Affected Party notifying the other Party within seven days of the occurrence of the Force Majeure Event (Article 15.5).</w:t>
      </w:r>
    </w:p>
    <w:p>
      <w:pPr>
        <w:pStyle w:val="ListBullet"/>
      </w:pPr>
      <w:r>
        <w:t>The contract mandates that during a Force Majeure Event, the Agreement Period and dates set forth in the Agreement shall be extended by a period equal to the duration of the Force Majeure Event (Article 15.6).</w:t>
      </w:r>
    </w:p>
    <w:p>
      <w:pPr>
        <w:pStyle w:val="ListBullet"/>
      </w:pPr>
      <w:r>
        <w:t>The contract restricts the Affected Party from claiming relief unless it has notified the other Party of the Force Majeure Event and provided regular updates (Article 15.5).</w:t>
      </w:r>
    </w:p>
    <w:p>
      <w:pPr>
        <w:pStyle w:val="ListBullet"/>
      </w:pPr>
      <w:r>
        <w:t>The contract allows either Party to terminate the Agreement if a Force Majeure Event persists for 180 days or more within a continuous period of 365 days, after providing a 15-day notice period for representation (Article 15.7).</w:t>
      </w:r>
    </w:p>
    <w:p>
      <w:pPr>
        <w:pStyle w:val="Heading2"/>
      </w:pPr>
      <w:r>
        <w:t>Economic Implication</w:t>
      </w:r>
    </w:p>
    <w:p>
      <w:pPr>
        <w:pStyle w:val="ListBullet"/>
      </w:pPr>
      <w:r>
        <w:t>The extension of the Agreement Period due to Force Majeure ensures that the Concessionaire is not economically disadvantaged by events beyond its control, potentially stabilizing revenue expectations.</w:t>
      </w:r>
    </w:p>
    <w:p>
      <w:pPr>
        <w:pStyle w:val="ListBullet"/>
      </w:pPr>
      <w:r>
        <w:t>The requirement for each Party to bear its own costs during a Force Majeure Event (Article 15.6) implies that the Concessionaire must have contingency plans to manage operational costs without additional compensation from the Railway Administration.</w:t>
      </w:r>
    </w:p>
    <w:p>
      <w:pPr>
        <w:pStyle w:val="Heading2"/>
      </w:pPr>
      <w:r>
        <w:t>Bankability Impact</w:t>
      </w:r>
    </w:p>
    <w:p>
      <w:pPr>
        <w:pStyle w:val="ListBullet"/>
      </w:pPr>
      <w:r>
        <w:t>From a lender and investor perspective, the clarity in the Force Majeure provisions enhances the bankability of the project by clearly defining risk allocation and relief mechanisms.</w:t>
      </w:r>
    </w:p>
    <w:p>
      <w:pPr>
        <w:pStyle w:val="ListBullet"/>
      </w:pPr>
      <w:r>
        <w:t>The enforceability of the relief structure, contingent on timely notification and regular updates, provides a structured approach to managing unforeseen risks, which is favorable for risk assessment by financial institutions.</w:t>
      </w:r>
    </w:p>
    <w:p>
      <w:pPr>
        <w:pStyle w:val="Heading2"/>
      </w:pPr>
      <w:r>
        <w:t>Clause Evidence</w:t>
      </w:r>
    </w:p>
    <w:p>
      <w:pPr>
        <w:pStyle w:val="ListBullet"/>
      </w:pPr>
      <w:r>
        <w:t>"The Affected Party shall not be entitled to any relief for or in respect of a Force Majeure Event unless it shall have notified the other Party of the occurrence of the Force Majeure Event as soon as reasonably practicable, and in any event not later than 7 (seven) days after the Affected Party knew, or ought reasonably to have known, of its occurrence..." (Article 15.5)</w:t>
      </w:r>
    </w:p>
    <w:p>
      <w:pPr>
        <w:pStyle w:val="ListBullet"/>
      </w:pPr>
      <w:r>
        <w:t>"If any Force Majeure Event occurs before the expiry of this Agreement, the Agreement Period and the dates set forth in the Agreement shall be extended by a period equal in length to the duration for which such Force Majeure Event subsists..." (Article 15.6)</w:t>
      </w:r>
    </w:p>
    <w:p>
      <w:pPr>
        <w:pStyle w:val="ListBullet"/>
      </w:pPr>
      <w:r>
        <w:t>"If a Force Majeure Event subsists for a period of 180 (one hundred and eighty) days or more within a continuous period of 365 (three hundred and sixty five) days, either Party may in its discretion terminate this Agreement by issuing a written termination notice..." (Article 15.7)</w:t>
      </w:r>
    </w:p>
    <w:p>
      <w:pPr>
        <w:pStyle w:val="Heading2"/>
      </w:pPr>
      <w:r>
        <w:t>Evidence Strength</w:t>
      </w:r>
    </w:p>
    <w:p>
      <w:r>
        <w:rPr>
          <w:b/>
        </w:rPr>
        <w:t>STRONG</w:t>
      </w:r>
    </w:p>
    <w:p>
      <w:pPr>
        <w:pStyle w:val="Heading2"/>
      </w:pPr>
      <w:r>
        <w:t>Confidence Assessment</w:t>
      </w:r>
    </w:p>
    <w:p>
      <w:r>
        <w:rPr>
          <w:b/>
        </w:rPr>
        <w:t>Overall Confidence Level: HIGH</w:t>
      </w:r>
    </w:p>
    <w:p>
      <w:r>
        <w:br w:type="page"/>
      </w:r>
    </w:p>
    <w:p>
      <w:pPr>
        <w:pStyle w:val="Heading1"/>
      </w:pPr>
      <w:r>
        <w:t>Termination &amp; Step-in Rights</w:t>
      </w:r>
    </w:p>
    <w:p>
      <w:pPr>
        <w:pStyle w:val="Heading2"/>
      </w:pPr>
      <w:r>
        <w:t>Legal Position</w:t>
      </w:r>
    </w:p>
    <w:p>
      <w:pPr>
        <w:pStyle w:val="ListBullet"/>
      </w:pPr>
      <w:r>
        <w:t>The contract explicitly allows termination upon the occurrence of a Financial Default, as stated in Clause 5.1. The Lenders' Representative can require the Railway Administration to terminate the Concession Agreement upon issuing a notice of Financial Default.</w:t>
      </w:r>
    </w:p>
    <w:p>
      <w:pPr>
        <w:pStyle w:val="ListBullet"/>
      </w:pPr>
      <w:r>
        <w:t>The contract explicitly allows termination when no Nominated Company is selected within 180 days, as per Clause 5.2. If no acceptable Nominated Company is recommended by the Lenders' Representative, the Railway Administration may terminate the agreement.</w:t>
      </w:r>
    </w:p>
    <w:p>
      <w:pPr>
        <w:pStyle w:val="ListBullet"/>
      </w:pPr>
      <w:r>
        <w:t>The contract explicitly mandates that each Project Agreement must contain provisions allowing a Nominated Company to step in, as per Clause 4.1. This is conditional upon the Nominated Company assuming the liabilities and obligations of the Concessionaire.</w:t>
      </w:r>
    </w:p>
    <w:p>
      <w:pPr>
        <w:pStyle w:val="Heading2"/>
      </w:pPr>
      <w:r>
        <w:t>Economic Implication</w:t>
      </w:r>
    </w:p>
    <w:p>
      <w:pPr>
        <w:pStyle w:val="ListBullet"/>
      </w:pPr>
      <w:r>
        <w:t>The explicit termination rights upon Financial Default or failure to nominate a company provide a clear exit strategy for the Railway Administration, potentially reducing financial uncertainty and risk exposure.</w:t>
      </w:r>
    </w:p>
    <w:p>
      <w:pPr>
        <w:pStyle w:val="ListBullet"/>
      </w:pPr>
      <w:r>
        <w:t>The requirement for Project Agreements to allow step-in by a Nominated Company ensures continuity of operations, which can mitigate economic disruptions and protect revenue streams.</w:t>
      </w:r>
    </w:p>
    <w:p>
      <w:pPr>
        <w:pStyle w:val="Heading2"/>
      </w:pPr>
      <w:r>
        <w:t>Bankability Impact</w:t>
      </w:r>
    </w:p>
    <w:p>
      <w:pPr>
        <w:pStyle w:val="ListBullet"/>
      </w:pPr>
      <w:r>
        <w:t>From a lender's perspective, the clear termination clauses enhance the enforceability of the agreement, providing a structured mechanism to address defaults, which is favorable for risk assessment.</w:t>
      </w:r>
    </w:p>
    <w:p>
      <w:pPr>
        <w:pStyle w:val="ListBullet"/>
      </w:pPr>
      <w:r>
        <w:t>The step-in rights improve the project's bankability by ensuring that lenders have a mechanism to protect their interests and maintain project operations, thereby reducing the risk of financial loss.</w:t>
      </w:r>
    </w:p>
    <w:p>
      <w:pPr>
        <w:pStyle w:val="Heading2"/>
      </w:pPr>
      <w:r>
        <w:t>Clause Evidence</w:t>
      </w:r>
    </w:p>
    <w:p>
      <w:pPr>
        <w:pStyle w:val="ListBullet"/>
      </w:pPr>
      <w:r>
        <w:t>"5.1 Termination upon occurrence of Financial Default... the Lenders' Representative may by a notice in writing require the Railway Administration to terminate the Concession Agreement forthwith..."</w:t>
      </w:r>
    </w:p>
    <w:p>
      <w:pPr>
        <w:pStyle w:val="ListBullet"/>
      </w:pPr>
      <w:r>
        <w:t>"5.2 Termination when no Nominated Company is selected... the Railway Administration may terminate the Concession Agreement forthwith..."</w:t>
      </w:r>
    </w:p>
    <w:p>
      <w:pPr>
        <w:pStyle w:val="ListBullet"/>
      </w:pPr>
      <w:r>
        <w:t>"4.1 Substitution of Nominated Company in Project Agreements... each Project Agreement contains provisions that entitle the Nominated Company to step into such Project Agreement..."</w:t>
      </w:r>
    </w:p>
    <w:p>
      <w:pPr>
        <w:pStyle w:val="Heading2"/>
      </w:pPr>
      <w:r>
        <w:t>Evidence Strength</w:t>
      </w:r>
    </w:p>
    <w:p>
      <w:r>
        <w:rPr>
          <w:b/>
        </w:rPr>
        <w:t>STRONG</w:t>
      </w:r>
    </w:p>
    <w:p>
      <w:pPr>
        <w:pStyle w:val="Heading2"/>
      </w:pPr>
      <w:r>
        <w:t>Confidence Assessment</w:t>
      </w:r>
    </w:p>
    <w:p>
      <w:r>
        <w:rPr>
          <w:b/>
        </w:rPr>
        <w:t>Overall Confidence Level: HIGH</w:t>
      </w:r>
    </w:p>
    <w:p>
      <w:r>
        <w:br w:type="page"/>
      </w:r>
    </w:p>
    <w:p>
      <w:pPr>
        <w:pStyle w:val="Heading1"/>
      </w:pPr>
      <w:r>
        <w:t>Dispute Resolution &amp; Governing Law</w:t>
      </w:r>
    </w:p>
    <w:p>
      <w:pPr>
        <w:pStyle w:val="Heading2"/>
      </w:pPr>
      <w:r>
        <w:t>Legal Position</w:t>
      </w:r>
    </w:p>
    <w:p>
      <w:pPr>
        <w:pStyle w:val="ListBullet"/>
      </w:pPr>
      <w:r>
        <w:t>The contract explicitly mandates that any dispute, difference, or claim arising out of or in connection with the agreement, which is not resolved amicably, shall be decided by arbitration. The arbitration is to be conducted by a Board of Arbitrators, with one nominee each from the Railway Administration, the Concessionaire, and the Lenders' Representative (Clause 8.1.1).</w:t>
      </w:r>
    </w:p>
    <w:p>
      <w:pPr>
        <w:pStyle w:val="ListBullet"/>
      </w:pPr>
      <w:r>
        <w:t>The arbitration shall be held in accordance with the Rules of Arbitration of the International Centre for Alternative Dispute Resolution, New Delhi, or other mutually agreed rules, and is subject to the Arbitration and Conciliation Act, 1996 (Clause 8.1.1).</w:t>
      </w:r>
    </w:p>
    <w:p>
      <w:pPr>
        <w:pStyle w:val="ListBullet"/>
      </w:pPr>
      <w:r>
        <w:t>The arbitrators are required to issue a reasoned award, which shall be final and binding on the parties (Clause 8.1.2).</w:t>
      </w:r>
    </w:p>
    <w:p>
      <w:pPr>
        <w:pStyle w:val="ListBullet"/>
      </w:pPr>
      <w:r>
        <w:t>The venue for arbitration is specified as Delhi, and the language of arbitration shall be English (Clause 8.1.2).</w:t>
      </w:r>
    </w:p>
    <w:p>
      <w:pPr>
        <w:pStyle w:val="ListBullet"/>
      </w:pPr>
      <w:r>
        <w:t>The governing law for the agreement is explicitly stated to be the laws of India, and the courts at Delhi have jurisdiction over matters arising out of or relating to the agreement (Clause 9.1).</w:t>
      </w:r>
    </w:p>
    <w:p>
      <w:pPr>
        <w:pStyle w:val="Heading2"/>
      </w:pPr>
      <w:r>
        <w:t>Economic Implication</w:t>
      </w:r>
    </w:p>
    <w:p>
      <w:pPr>
        <w:pStyle w:val="ListBullet"/>
      </w:pPr>
      <w:r>
        <w:t>The arbitration process provides a structured mechanism for resolving disputes, which can reduce the time and cost associated with litigation, thereby potentially lowering the overall transaction costs for the parties involved.</w:t>
      </w:r>
    </w:p>
    <w:p>
      <w:pPr>
        <w:pStyle w:val="ListBullet"/>
      </w:pPr>
      <w:r>
        <w:t>The clarity in the governing law and jurisdiction can lead to more predictable legal outcomes, which can be economically beneficial by reducing uncertainty and the risk of protracted legal disputes.</w:t>
      </w:r>
    </w:p>
    <w:p>
      <w:pPr>
        <w:pStyle w:val="Heading2"/>
      </w:pPr>
      <w:r>
        <w:t>Bankability Impact</w:t>
      </w:r>
    </w:p>
    <w:p>
      <w:pPr>
        <w:pStyle w:val="ListBullet"/>
      </w:pPr>
      <w:r>
        <w:t>From a lender and investor perspective, the clear dispute resolution mechanism and governing law provisions enhance the contract's bankability by providing a predictable and enforceable framework for resolving disputes.</w:t>
      </w:r>
    </w:p>
    <w:p>
      <w:pPr>
        <w:pStyle w:val="ListBullet"/>
      </w:pPr>
      <w:r>
        <w:t>The inclusion of the Lenders' Representative in the arbitration process ensures that the interests of the financiers are considered, which can increase lender confidence and potentially improve financing terms.</w:t>
      </w:r>
    </w:p>
    <w:p>
      <w:pPr>
        <w:pStyle w:val="Heading2"/>
      </w:pPr>
      <w:r>
        <w:t>Clause Evidence</w:t>
      </w:r>
    </w:p>
    <w:p>
      <w:pPr>
        <w:pStyle w:val="ListBullet"/>
      </w:pPr>
      <w:r>
        <w:t>"Any dispute, difference or claim arising out of or in connection with this Agreement which is not resolved amicably shall be decided by reference to arbitration to a Board of Arbitrators comprising one nominee each of the Railway Administration, Concessionaire and the Lenders' Representative." (Clause 8.1.1)</w:t>
      </w:r>
    </w:p>
    <w:p>
      <w:pPr>
        <w:pStyle w:val="ListBullet"/>
      </w:pPr>
      <w:r>
        <w:t>"Such arbitration shall be held in accordance with the Rules of Arbitration of the International Centre for Alternative Dispute Resolution, New Delhi (the 'Rules') or such other rules as may be mutually agreed by the Parties, and shall be subject to provisions of the Arbitration and Conciliation Act, 1996." (Clause 8.1.1)</w:t>
      </w:r>
    </w:p>
    <w:p>
      <w:pPr>
        <w:pStyle w:val="ListBullet"/>
      </w:pPr>
      <w:r>
        <w:t>"The Arbitrators shall issue a reasoned award and such award shall be final and binding on the Parties." (Clause 8.1.2)</w:t>
      </w:r>
    </w:p>
    <w:p>
      <w:pPr>
        <w:pStyle w:val="ListBullet"/>
      </w:pPr>
      <w:r>
        <w:t>"The venue of arbitration shall be Delhi and the language of arbitration shall be English." (Clause 8.1.2)</w:t>
      </w:r>
    </w:p>
    <w:p>
      <w:pPr>
        <w:pStyle w:val="ListBullet"/>
      </w:pPr>
      <w:r>
        <w:t>"This Agreement shall be construed and interpreted in accordance with and governed by the laws of India, and the Courts at Delhi shall have jurisdiction over all matters arising out of or relating to this Agreement." (Clause 9.1)</w:t>
      </w:r>
    </w:p>
    <w:p>
      <w:pPr>
        <w:pStyle w:val="Heading2"/>
      </w:pPr>
      <w:r>
        <w:t>Evidence Strength</w:t>
      </w:r>
    </w:p>
    <w:p>
      <w:r>
        <w:rPr>
          <w:b/>
        </w:rPr>
        <w:t>STRONG</w:t>
      </w:r>
    </w:p>
    <w:p>
      <w:pPr>
        <w:pStyle w:val="Heading2"/>
      </w:pPr>
      <w:r>
        <w:t>Confidence Assessment</w:t>
      </w:r>
    </w:p>
    <w:p>
      <w:r>
        <w:rPr>
          <w:b/>
        </w:rPr>
        <w:t>Overall Confidence Level: HIGH</w:t>
      </w:r>
    </w:p>
    <w:p>
      <w:r>
        <w:br w:type="page"/>
      </w:r>
    </w:p>
    <w:p>
      <w:pPr>
        <w:pStyle w:val="Heading1"/>
      </w:pPr>
      <w:r>
        <w:t>Assignment &amp; Financing Flexibility</w:t>
      </w:r>
    </w:p>
    <w:p>
      <w:pPr>
        <w:pStyle w:val="Heading2"/>
      </w:pPr>
      <w:r>
        <w:t>Legal Position</w:t>
      </w:r>
    </w:p>
    <w:p>
      <w:pPr>
        <w:pStyle w:val="ListBullet"/>
      </w:pPr>
      <w:r>
        <w:t>The contract explicitly allows the Concessionaire to transfer and/or assign the Agreement to a third party after one year from the Commercial Operation Date, subject to approval from the Railway Administration, which can only reject the transfer if it is prejudicial to national security or public interest (Clause 12.1.2).</w:t>
      </w:r>
    </w:p>
    <w:p>
      <w:pPr>
        <w:pStyle w:val="ListBullet"/>
      </w:pPr>
      <w:r>
        <w:t>The Concessionaire is prohibited from transferring and/or assigning the Agreement before one year from the Commercial Operation Date, except to a direct/indirect subsidiary or holding company, or to a Lender's Nominee due to a Financing Event of Default, subject to approval from the Railway Administration (Clause 12.1.1).</w:t>
      </w:r>
    </w:p>
    <w:p>
      <w:pPr>
        <w:pStyle w:val="ListBullet"/>
      </w:pPr>
      <w:r>
        <w:t>There shall be no Change of Control of the Concessionaire before one year from the commencement of commercial operations, and any Change of Control thereafter requires approval from the Railway Administration, which can only reject it from a national security or public interest perspective (Clause 12.2.1).</w:t>
      </w:r>
    </w:p>
    <w:p>
      <w:pPr>
        <w:pStyle w:val="Heading2"/>
      </w:pPr>
      <w:r>
        <w:t>Economic Implication</w:t>
      </w:r>
    </w:p>
    <w:p>
      <w:pPr>
        <w:pStyle w:val="ListBullet"/>
      </w:pPr>
      <w:r>
        <w:t>The conditional transferability and assignment provisions may limit the Concessionaire's flexibility in restructuring or selling its interests, potentially affecting its strategic business decisions.</w:t>
      </w:r>
    </w:p>
    <w:p>
      <w:pPr>
        <w:pStyle w:val="ListBullet"/>
      </w:pPr>
      <w:r>
        <w:t>The requirement for Railway Administration's approval introduces an additional layer of regulatory oversight, which could delay or complicate potential transactions.</w:t>
      </w:r>
    </w:p>
    <w:p>
      <w:pPr>
        <w:pStyle w:val="Heading2"/>
      </w:pPr>
      <w:r>
        <w:t>Bankability Impact</w:t>
      </w:r>
    </w:p>
    <w:p>
      <w:pPr>
        <w:pStyle w:val="ListBullet"/>
      </w:pPr>
      <w:r>
        <w:t>From a lender and investor perspective, the conditional assignment and transfer provisions may introduce uncertainty and potential delays in executing financial restructuring or exit strategies.</w:t>
      </w:r>
    </w:p>
    <w:p>
      <w:pPr>
        <w:pStyle w:val="ListBullet"/>
      </w:pPr>
      <w:r>
        <w:t>The need for Railway Administration's approval, particularly on national security or public interest grounds, may be seen as a risk factor, potentially affecting the attractiveness of the concession to investors and financiers.</w:t>
      </w:r>
    </w:p>
    <w:p>
      <w:pPr>
        <w:pStyle w:val="Heading2"/>
      </w:pPr>
      <w:r>
        <w:t>Clause Evidence</w:t>
      </w:r>
    </w:p>
    <w:p>
      <w:pPr>
        <w:pStyle w:val="ListBullet"/>
      </w:pPr>
      <w:r>
        <w:t>"The Concessionaire shall not transfer and/or assign this Agreement, before the completion of 1 (one) year from the Commercial Operation Date, to any third party except if the same is done in favour of a direct/indirect subsidiary or holding company... subject to such Transferee being found acceptable by the Railway Administration from a national security and public interest perspective." (Clause 12.1.1)</w:t>
      </w:r>
    </w:p>
    <w:p>
      <w:pPr>
        <w:pStyle w:val="ListBullet"/>
      </w:pPr>
      <w:r>
        <w:t>"The Concessionaire may transfer and/or assign the Concession to any third party after one (1) year after the commencement of commercial operations... subject to the condition that such transfer shall be effected only pursuant to an approval from the Railway Administration..." (Clause 12.1.2)</w:t>
      </w:r>
    </w:p>
    <w:p>
      <w:pPr>
        <w:pStyle w:val="ListBullet"/>
      </w:pPr>
      <w:r>
        <w:t>"There shall be no Change of Control of the Concessionaire... before the completion of one (1) year from the commencement of commercial operations... subject however to the condition that such Change of Control shall be effected only after an approval from the Railway Administration..." (Clause 12.2.1)</w:t>
      </w:r>
    </w:p>
    <w:p>
      <w:pPr>
        <w:pStyle w:val="Heading2"/>
      </w:pPr>
      <w:r>
        <w:t>Evidence Strength</w:t>
      </w:r>
    </w:p>
    <w:p>
      <w:r>
        <w:rPr>
          <w:b/>
        </w:rPr>
        <w:t>STRONG</w:t>
      </w:r>
    </w:p>
    <w:p>
      <w:pPr>
        <w:pStyle w:val="Heading2"/>
      </w:pPr>
      <w:r>
        <w:t>Confidence Assessment</w:t>
      </w:r>
    </w:p>
    <w:p>
      <w:r>
        <w:rPr>
          <w:b/>
        </w:rPr>
        <w:t>Overall Confidence Level: HIGH</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