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MCA Comparison Analysis Adani  Mundra Port agreement for operations vs Bahuli_IOCL_compressed</w:t>
      </w:r>
    </w:p>
    <w:p>
      <w:pPr>
        <w:pStyle w:val="Heading1"/>
      </w:pPr>
      <w:r>
        <w:t>01. Scope of Concession &amp; Rights Granted</w:t>
      </w:r>
    </w:p>
    <w:p>
      <w:pPr>
        <w:pStyle w:val="IntenseQuote"/>
      </w:pPr>
      <w:r>
        <w:t>Which MCA grants greater commercial autonomy to the Concessionaire through the scope of concession and rights granted, and how does this affect the ability to undertake ancillary activities, optimize operations, and generate additional revenue?</w:t>
        <w:br/>
        <w:br/>
        <w:t>Compare both agreements using explicit rights, implied limitations, and material silence, supported by clause evidence and evidence strength assessment.</w:t>
      </w:r>
    </w:p>
    <w:p>
      <w:pPr>
        <w:pStyle w:val="Heading2"/>
      </w:pPr>
      <w:r>
        <w:t>Finding</w:t>
      </w:r>
    </w:p>
    <w:p>
      <w:r>
        <w:t>Document A (Adani Mundra Port agreement) grants the Concessionaire greater commercial autonomy compared to Document B (Bahuli_IOCL_compressed). Document A provides explicit rights to collect fees, develop rail terminals, and own/lease wagons, which are not present in Document B. Document B imposes more restrictions on transferring rights and requires prior permission for any assignment, limiting commercial flexibility.</w:t>
      </w:r>
    </w:p>
    <w:p>
      <w:pPr>
        <w:pStyle w:val="Heading2"/>
      </w:pPr>
      <w:r>
        <w:t>Comparison Insight</w:t>
      </w:r>
    </w:p>
    <w:p>
      <w:r>
        <w:t>Document A allows the Concessionaire to engage in ancillary activities such as collecting fees from third parties and developing rail terminals, which can optimize operations and generate additional revenue. In contrast, Document B restricts the Applicant from transferring or subletting rights without permission, limiting the ability to undertake ancillary activities and optimize operations.</w:t>
      </w:r>
    </w:p>
    <w:p>
      <w:r>
        <w:t>Impact on Cash Flows:</w:t>
      </w:r>
    </w:p>
    <w:p>
      <w:r>
        <w:t>Document A's provisions for fee collection and asset encumbrance provide direct revenue streams and financial flexibility, positively impacting cash flows. Document B's restrictions on rights transfer and the requirement to adhere to Railway Administration tariffs limit revenue generation and increase operational costs, potentially negatively impacting cash flows.</w:t>
      </w:r>
    </w:p>
    <w:p>
      <w:pPr>
        <w:pStyle w:val="Heading2"/>
      </w:pPr>
      <w:r>
        <w:t>Clause Evidence</w:t>
      </w:r>
    </w:p>
    <w:p>
      <w:pPr>
        <w:pStyle w:val="Heading2"/>
      </w:pPr>
      <w:r>
        <w:t>- Document A</w:t>
      </w:r>
    </w:p>
    <w:p>
      <w:pPr>
        <w:pStyle w:val="ListBullet"/>
      </w:pPr>
      <w:r>
        <w:t>"The right to undertake the business of collecting, storing and loading ento Wagons, consignments of goods from any third party; The right to determine, charge, collect, retain and appropriate all the fees that it charges from the consigners; The right to obtain access to Rail Terminals and develop, own, operate and maintain Rail Terminals, including inland container depots; The right to procure and own/lease Wagons and containers." (Clauses 3.1.3.1 to 3.1.3.4)</w:t>
      </w:r>
    </w:p>
    <w:p>
      <w:pPr>
        <w:pStyle w:val="ListBullet"/>
      </w:pPr>
      <w:r>
        <w:t>"The Concessionaire may, with prior written consent of Railway Administration, add any or all other categories of routes for operation of its container trains by paying the prescribed Registration Fee or the differential thereof." (Clause 3.2)</w:t>
      </w:r>
    </w:p>
    <w:p>
      <w:pPr>
        <w:pStyle w:val="Heading2"/>
      </w:pPr>
      <w:r>
        <w:t>- Document B</w:t>
      </w:r>
    </w:p>
    <w:p>
      <w:pPr>
        <w:pStyle w:val="ListBullet"/>
      </w:pPr>
      <w:r>
        <w:t>"The Applicant shall not be entitled to assign or transfer or sublet or permit to be used or enjoyed by any other person in any manner whatsoever any of the rights or benefits conferred upon the Applicant by these presents..." (Clause 21)</w:t>
      </w:r>
    </w:p>
    <w:p>
      <w:pPr>
        <w:pStyle w:val="ListBullet"/>
      </w:pPr>
      <w:r>
        <w:t>"The Applicant shall pay freight and also all other charges (including siding, placement and withdrawal charges, where leviable) on traffic to and from the siding from the date of opening of the siding in accordance with the Railway Administration's Tariffs, Circulars and Advices in force at or given effect to from the time the traffic is carried or such rates as may be fixed by the Railway Administration from time to time." (Clause 16(a))</w:t>
      </w:r>
    </w:p>
    <w:p>
      <w:r>
        <w:t>Evidence Strength: HIGH</w:t>
      </w:r>
    </w:p>
    <w:p>
      <w:r>
        <w:br w:type="page"/>
      </w:r>
    </w:p>
    <w:p>
      <w:pPr>
        <w:pStyle w:val="Heading1"/>
      </w:pPr>
      <w:r>
        <w:t>02. Tariff &amp; Revenue Flexibility</w:t>
      </w:r>
    </w:p>
    <w:p>
      <w:pPr>
        <w:pStyle w:val="IntenseQuote"/>
      </w:pPr>
      <w:r>
        <w:t>Which MCA provides greater flexibility in tariff setting and revenue generation for the Concessionaire, and how does this impact cash flow certainty and lender comfort?</w:t>
        <w:br/>
        <w:br/>
        <w:t>Compare both agreements based on explicit pricing clauses, regulatory controls, implicit constraints, and contractual silence, with clause evidence and evidence strength assessment.</w:t>
      </w:r>
    </w:p>
    <w:p>
      <w:pPr>
        <w:pStyle w:val="Heading2"/>
      </w:pPr>
      <w:r>
        <w:t>Finding</w:t>
      </w:r>
    </w:p>
    <w:p>
      <w:r>
        <w:t>Document A lacks specific clauses on tariff setting and revenue flexibility, while Document B explicitly mandates adherence to the Railway Administration's tariffs and rules, limiting the Applicant's flexibility in tariff setting and revenue generation.</w:t>
      </w:r>
    </w:p>
    <w:p>
      <w:pPr>
        <w:pStyle w:val="Heading2"/>
      </w:pPr>
      <w:r>
        <w:t>Comparison Insight</w:t>
      </w:r>
    </w:p>
    <w:p>
      <w:r>
        <w:t>Document A provides no explicit guidance on tariff setting, leaving potential flexibility but also uncertainty. Document B, however, explicitly restricts the Applicant's ability to set tariffs independently, as all charges must align with the Railway Administration's established tariffs and rules. This creates a more predictable but less flexible revenue environment for the Applicant in Document B.</w:t>
      </w:r>
    </w:p>
    <w:p>
      <w:r>
        <w:t>Impact on Cash Flows:</w:t>
      </w:r>
    </w:p>
    <w:p>
      <w:r>
        <w:t>Document A's silence on tariff setting could lead to uncertainty in cash flow projections, potentially affecting lender comfort due to the lack of defined revenue mechanisms. In contrast, Document B's explicit tariff adherence provides cash flow certainty but limits the Applicant's ability to optimize revenue, which could impact profitability and lender confidence due to perceived financial rigidity.</w:t>
      </w:r>
    </w:p>
    <w:p>
      <w:pPr>
        <w:pStyle w:val="Heading2"/>
      </w:pPr>
      <w:r>
        <w:t>Clause Evidence</w:t>
      </w:r>
    </w:p>
    <w:p>
      <w:pPr>
        <w:pStyle w:val="ListBullet"/>
      </w:pPr>
      <w:r>
        <w:t>Document A: No specific clauses addressing tariff setting and revenue flexibility.</w:t>
      </w:r>
    </w:p>
    <w:p>
      <w:pPr>
        <w:pStyle w:val="Heading2"/>
      </w:pPr>
      <w:r>
        <w:t>- Document B</w:t>
      </w:r>
    </w:p>
    <w:p>
      <w:pPr>
        <w:pStyle w:val="ListBullet"/>
      </w:pPr>
      <w:r>
        <w:t>"The Applicant shall pay freight and also all other charges... in accordance with the Railway Administration's Tariffs, Circulars and Advices..." (Clause 16(a))</w:t>
      </w:r>
    </w:p>
    <w:p>
      <w:pPr>
        <w:pStyle w:val="ListBullet"/>
      </w:pPr>
      <w:r>
        <w:t>"The free time allowed to the Applicant for loading and unloading and the demurrage charges... will be governed by the rates and rules published... by the Railway Administration..." (Clause 16(b))</w:t>
      </w:r>
    </w:p>
    <w:p>
      <w:r>
        <w:t>Evidence Strength: STRONG for Document B, NONE for Document A</w:t>
      </w:r>
    </w:p>
    <w:p>
      <w:r>
        <w:br w:type="page"/>
      </w:r>
    </w:p>
    <w:p>
      <w:pPr>
        <w:pStyle w:val="Heading1"/>
      </w:pPr>
      <w:r>
        <w:t>03. Asset Ownership &amp; Control</w:t>
      </w:r>
    </w:p>
    <w:p>
      <w:pPr>
        <w:pStyle w:val="IntenseQuote"/>
      </w:pPr>
      <w:r>
        <w:t>Which MCA allocates asset ownership and operational control more favorably to the Concessionaire, and how does this affect control over operations, monetization potential, and lender security?</w:t>
        <w:br/>
        <w:br/>
        <w:t>Compare both agreements using ownership clauses, control rights, restrictions, and clause evidence with evidence strength assessment.</w:t>
      </w:r>
    </w:p>
    <w:p>
      <w:pPr>
        <w:pStyle w:val="Heading2"/>
      </w:pPr>
      <w:r>
        <w:t>Finding</w:t>
      </w:r>
    </w:p>
    <w:p>
      <w:r>
        <w:t>Document A (Adani Mundra Port agreement for operations) allocates asset ownership and operational control more favorably to the Concessionaire compared to Document B (Bahuli_IOCL_compressed). Document A grants the Concessionaire explicit rights to own, lease, and encumber assets such as Wagons and Rail Terminals, providing significant control over operations and monetization potential. In contrast, Document B imposes restrictions on the Applicant's ability to transfer or assign rights without prior permission, limiting operational flexibility and monetization opportunities.</w:t>
      </w:r>
    </w:p>
    <w:p>
      <w:pPr>
        <w:pStyle w:val="Heading2"/>
      </w:pPr>
      <w:r>
        <w:t>Comparison Insight</w:t>
      </w:r>
    </w:p>
    <w:p>
      <w:r>
        <w:t>Document A provides the Concessionaire with greater control over its assets and operations, including the ability to charge fees, own and lease Wagons, and develop Rail Terminals. This enhances the Concessionaire's ability to generate revenue and secure financing. Document B, however, places more restrictions on the Applicant, requiring prior permission for transferring rights and imposing financial responsibilities for construction and maintenance, which limits operational control and flexibility.</w:t>
      </w:r>
    </w:p>
    <w:p>
      <w:r>
        <w:t>Impact on Cash Flows:</w:t>
      </w:r>
    </w:p>
    <w:p>
      <w:r>
        <w:t>In Document A, the Concessionaire's ability to charge fees and encumber assets positively impacts cash flows by providing direct revenue streams and financial flexibility. The non-exclusive nature introduces competitive risks but does not significantly hinder cash flow potential. In Document B, the Applicant's cash flows are constrained by the financial burden of construction and maintenance costs, and the inability to freely transfer or monetize rights without permission, potentially affecting liquidity and financial stability.</w:t>
      </w:r>
    </w:p>
    <w:p>
      <w:pPr>
        <w:pStyle w:val="Heading2"/>
      </w:pPr>
      <w:r>
        <w:t>Clause Evidence</w:t>
      </w:r>
    </w:p>
    <w:p>
      <w:pPr>
        <w:pStyle w:val="Heading2"/>
      </w:pPr>
      <w:r>
        <w:t>- Document A</w:t>
      </w:r>
    </w:p>
    <w:p>
      <w:pPr>
        <w:pStyle w:val="ListBullet"/>
      </w:pPr>
      <w:r>
        <w:t>"The right to procure and own/lease Wagons and containers." (Clause 3.1.3.4)</w:t>
      </w:r>
    </w:p>
    <w:p>
      <w:pPr>
        <w:pStyle w:val="ListBullet"/>
      </w:pPr>
      <w:r>
        <w:t>"The right to...develop, own, operate and maintain Rail Terminals, including inland container depots." (Clause 3.1.3.3)</w:t>
      </w:r>
    </w:p>
    <w:p>
      <w:pPr>
        <w:pStyle w:val="ListBullet"/>
      </w:pPr>
      <w:r>
        <w:t>"Nothing in this Agreement shall prohibit...the Concessionaire to Encumber its interest...provided that no property which has been leased/licensed by Railway Administration...shall be Encumbered." (Clause 3.4.1)</w:t>
      </w:r>
    </w:p>
    <w:p>
      <w:pPr>
        <w:pStyle w:val="Heading2"/>
      </w:pPr>
      <w:r>
        <w:t>- Document B</w:t>
      </w:r>
    </w:p>
    <w:p>
      <w:pPr>
        <w:pStyle w:val="ListBullet"/>
      </w:pPr>
      <w:r>
        <w:t>"The Applicant is forbidden to assign, transfer or sublet in any manner whatsoever either/whole or any part of the siding without prior written permission of the Railway Administration." (Clause 21b)</w:t>
      </w:r>
    </w:p>
    <w:p>
      <w:pPr>
        <w:pStyle w:val="ListBullet"/>
      </w:pPr>
      <w:r>
        <w:t>"The Railway land required for the siding will be licensed to the Applicant. The Applicant will have to pay for land rent..." (Clause 4b)</w:t>
      </w:r>
    </w:p>
    <w:p>
      <w:pPr>
        <w:pStyle w:val="ListBullet"/>
      </w:pPr>
      <w:r>
        <w:t>"The Applicant shall also pay to the Railway Administration towards the ordinary maintenance of the said siding within Railway boundary..." (Clause 8a)</w:t>
      </w:r>
    </w:p>
    <w:p>
      <w:r>
        <w:t>Evidence Strength: HIGH</w:t>
      </w:r>
    </w:p>
    <w:p>
      <w:r>
        <w:br w:type="page"/>
      </w:r>
    </w:p>
    <w:p>
      <w:pPr>
        <w:pStyle w:val="Heading1"/>
      </w:pPr>
      <w:r>
        <w:t>04. Demand &amp; Traffic Risk</w:t>
      </w:r>
    </w:p>
    <w:p>
      <w:pPr>
        <w:pStyle w:val="IntenseQuote"/>
      </w:pPr>
      <w:r>
        <w:t>Which MCA allocates demand or traffic risk more efficiently between the Authority and the Concessionaire, and how does this influence revenue stability, downside risk, and bankability?</w:t>
        <w:br/>
        <w:br/>
        <w:t>Compare both agreements based on explicit risk allocation, guarantees, exclusivity provisions, and material silence, supported by clause evidence and evidence strength assessment.</w:t>
      </w:r>
    </w:p>
    <w:p>
      <w:pPr>
        <w:pStyle w:val="Heading2"/>
      </w:pPr>
      <w:r>
        <w:t>Finding</w:t>
      </w:r>
    </w:p>
    <w:p>
      <w:r>
        <w:t>Document B allocates demand and traffic risk more explicitly to the Applicant, requiring them to maintain a minimum level of traffic and bear associated costs, while Document A is silent on explicit demand and traffic risk allocation.</w:t>
      </w:r>
    </w:p>
    <w:p>
      <w:pPr>
        <w:pStyle w:val="Heading2"/>
      </w:pPr>
      <w:r>
        <w:t>Comparison Insight</w:t>
      </w:r>
    </w:p>
    <w:p>
      <w:r>
        <w:t>Document B provides a clearer allocation of demand and traffic risk, placing the responsibility on the Applicant to maintain traffic levels and bear costs, which introduces financial and operational risks. Document A's silence on these risks creates uncertainty for the Concessionaire, potentially affecting their ability to manage demand fluctuations and traffic changes.</w:t>
      </w:r>
    </w:p>
    <w:p>
      <w:r>
        <w:t>Impact on Cash Flows:</w:t>
      </w:r>
    </w:p>
    <w:p>
      <w:r>
        <w:t>In Document B, the explicit allocation of demand and traffic risk to the Applicant could lead to more predictable cash flows if traffic levels are maintained, but also poses a downside risk if traffic falls below required levels, leading to additional costs or operational disruptions. Document A's lack of explicit risk allocation may result in unpredictable cash flows due to uncertainty in managing demand and traffic risks.</w:t>
      </w:r>
    </w:p>
    <w:p>
      <w:pPr>
        <w:pStyle w:val="Heading2"/>
      </w:pPr>
      <w:r>
        <w:t>Clause Evidence</w:t>
      </w:r>
    </w:p>
    <w:p>
      <w:pPr>
        <w:pStyle w:val="ListBullet"/>
      </w:pPr>
      <w:r>
        <w:t>Document A: The document does not contain specific clauses addressing demand and traffic risk allocation.</w:t>
      </w:r>
    </w:p>
    <w:p>
      <w:pPr>
        <w:pStyle w:val="Heading2"/>
      </w:pPr>
      <w:r>
        <w:t>- Document B</w:t>
      </w:r>
    </w:p>
    <w:p>
      <w:pPr>
        <w:pStyle w:val="ListBullet"/>
      </w:pPr>
      <w:r>
        <w:t>"The Applicant shall pay freight and also all other charges (including siding, placement and withdrawal charges, where leviable) on traffic to and from the siding from the date of opening..." (Clause 16(a))</w:t>
      </w:r>
    </w:p>
    <w:p>
      <w:pPr>
        <w:pStyle w:val="ListBullet"/>
      </w:pPr>
      <w:r>
        <w:t>"Siding, where the traffic is lower than these limits, should be closed if the owner does not undertake to electrify the siding at his cost." (Clause 1(c))</w:t>
      </w:r>
    </w:p>
    <w:p>
      <w:pPr>
        <w:pStyle w:val="ListBullet"/>
      </w:pPr>
      <w:r>
        <w:t>"To refuse supplies of wagons or other, rolling stock for the Applicant... in the event of non-payment by the Applicant..." (Clause 19(d))</w:t>
      </w:r>
    </w:p>
    <w:p>
      <w:r>
        <w:t>Evidence Strength: STRONG</w:t>
      </w:r>
    </w:p>
    <w:p>
      <w:r>
        <w:br w:type="page"/>
      </w:r>
    </w:p>
    <w:p>
      <w:pPr>
        <w:pStyle w:val="Heading1"/>
      </w:pPr>
      <w:r>
        <w:t>05. Regulatory Micromanagement</w:t>
      </w:r>
    </w:p>
    <w:p>
      <w:pPr>
        <w:pStyle w:val="IntenseQuote"/>
      </w:pPr>
      <w:r>
        <w:t>Which MCA subjects the Concessionaire to greater regulatory or operational micromanagement, and how does this affect operational autonomy, compliance costs, and efficiency?</w:t>
        <w:br/>
        <w:br/>
        <w:t>Compare both agreements using explicit approval requirements, supervisory powers, implied control mechanisms, and clause evidence with evidence strength assessment.</w:t>
      </w:r>
    </w:p>
    <w:p>
      <w:pPr>
        <w:pStyle w:val="Heading2"/>
      </w:pPr>
      <w:r>
        <w:t>Finding</w:t>
      </w:r>
    </w:p>
    <w:p>
      <w:r>
        <w:t>Document B subjects the Concessionaire to greater regulatory and operational micromanagement compared to Document A. Document B requires explicit written approval for any alterations or additions to the infrastructure, mandates the Applicant to bear costs for additional safety and operational work, and prohibits transferring rights without prior permission. Document A, while requiring compliance with laws and maintenance standards, does not impose such detailed control over operational changes or financial responsibilities.</w:t>
      </w:r>
    </w:p>
    <w:p>
      <w:pPr>
        <w:pStyle w:val="Heading2"/>
      </w:pPr>
      <w:r>
        <w:t>Comparison Insight</w:t>
      </w:r>
    </w:p>
    <w:p>
      <w:r>
        <w:t>Document B's requirement for written approvals and explicit cost allocations indicates a higher level of regulatory oversight and operational control by the Railway Administration. This contrasts with Document A, which focuses more on compliance with laws and standards without detailing specific control mechanisms. Document B's approach may limit the Concessionaire's operational autonomy and flexibility, potentially increasing compliance costs and reducing efficiency due to the need for approvals and financial burdens.</w:t>
      </w:r>
    </w:p>
    <w:p>
      <w:r>
        <w:t>Impact on Cash Flows:</w:t>
      </w:r>
    </w:p>
    <w:p>
      <w:r>
        <w:t>The increased regulatory oversight and financial responsibilities in Document B could lead to higher compliance costs and potential delays in operations, negatively impacting cash flows. The need for approvals and the prohibition on transferring rights may limit revenue-generating opportunities, affecting the project's profitability. In contrast, Document A's less stringent control mechanisms may allow for more efficient operations and better cash flow management.</w:t>
      </w:r>
    </w:p>
    <w:p>
      <w:pPr>
        <w:pStyle w:val="Heading2"/>
      </w:pPr>
      <w:r>
        <w:t>Clause Evidence</w:t>
      </w:r>
    </w:p>
    <w:p>
      <w:pPr>
        <w:pStyle w:val="Heading2"/>
      </w:pPr>
      <w:r>
        <w:t>- Document A</w:t>
      </w:r>
    </w:p>
    <w:p>
      <w:pPr>
        <w:pStyle w:val="ListBullet"/>
      </w:pPr>
      <w:r>
        <w:t>"The Concessionaire shall fully indemnify, hold harmless and defend Railway Administration... failure of the Concessionaire to comply with Applicable Laws and Applicable Permits;" (Article 16.2.1(a))</w:t>
      </w:r>
    </w:p>
    <w:p>
      <w:pPr>
        <w:pStyle w:val="ListBullet"/>
      </w:pPr>
      <w:r>
        <w:t>"Maintain accurate, up-to-date and complete records relating to Concessionaire's Container train operations." (Article 8.1(xiv))</w:t>
      </w:r>
    </w:p>
    <w:p>
      <w:pPr>
        <w:pStyle w:val="ListBullet"/>
      </w:pPr>
      <w:r>
        <w:t>"The Concessionaire shall at all times conform to the maintenance standards specified by the Railway Administration in accordance with Good Industry Practice..." (Article 5.7.1)</w:t>
      </w:r>
    </w:p>
    <w:p>
      <w:pPr>
        <w:pStyle w:val="ListBullet"/>
      </w:pPr>
      <w:r>
        <w:t>"Allow, any time and from time to time, representatives of Railway Administration to enter upon its premises... to inspect any and all documents pertaining to any container train related operations..." (Article 8.1(xvi))</w:t>
      </w:r>
    </w:p>
    <w:p>
      <w:pPr>
        <w:pStyle w:val="Heading2"/>
      </w:pPr>
      <w:r>
        <w:t>- Document B</w:t>
      </w:r>
    </w:p>
    <w:p>
      <w:pPr>
        <w:pStyle w:val="ListBullet"/>
      </w:pPr>
      <w:r>
        <w:t>"No addition or alteration shall be made to the siding nor shall any temporary or permanent structure be erected without the sanction in writing of the Railway Administration." (Clause 10)</w:t>
      </w:r>
    </w:p>
    <w:p>
      <w:pPr>
        <w:pStyle w:val="ListBullet"/>
      </w:pPr>
      <w:r>
        <w:t>"Any additional expense incurred in working of the safety appliance... shall be paid by the Applicant." (Clause 11)</w:t>
      </w:r>
    </w:p>
    <w:p>
      <w:pPr>
        <w:pStyle w:val="ListBullet"/>
      </w:pPr>
      <w:r>
        <w:t>"The Applicants shall provide and maintain at their own cost and expense a suitable weigh bridge, weigh bridge house and weigh bridge siding..." (Clause 9)</w:t>
      </w:r>
    </w:p>
    <w:p>
      <w:pPr>
        <w:pStyle w:val="ListBullet"/>
      </w:pPr>
      <w:r>
        <w:t>"The Applicant shall not be entitled to assign or transfer or sublet or permit to be used or enjoyed by any other person in any manner whatsoever any of the rights or benefits conferred upon the Applicant by these presents..." (Clause 21)</w:t>
      </w:r>
    </w:p>
    <w:p>
      <w:r>
        <w:t>Evidence Strength: HIGH</w:t>
      </w:r>
    </w:p>
    <w:p>
      <w:r>
        <w:br w:type="page"/>
      </w:r>
    </w:p>
    <w:p>
      <w:pPr>
        <w:pStyle w:val="Heading1"/>
      </w:pPr>
      <w:r>
        <w:t>06. Dispute Resolution</w:t>
      </w:r>
    </w:p>
    <w:p>
      <w:pPr>
        <w:pStyle w:val="IntenseQuote"/>
      </w:pPr>
      <w:r>
        <w:t>Which MCA provides a more neutral, predictable, and enforceable dispute resolution framework, and how does this affect legal certainty and lender confidence?</w:t>
        <w:br/>
        <w:br/>
        <w:t>Compare both agreements based on arbitration structure, appointment mechanisms, governing law, enforcement certainty, and clause evidence with evidence strength assessment.</w:t>
      </w:r>
    </w:p>
    <w:p>
      <w:pPr>
        <w:pStyle w:val="Heading2"/>
      </w:pPr>
      <w:r>
        <w:t>Finding</w:t>
      </w:r>
    </w:p>
    <w:p>
      <w:r>
        <w:t>Document A provides a more neutral, predictable, and enforceable dispute resolution framework compared to Document B. Document A specifies a Board of Arbitrators with representatives from all parties, adherence to established arbitration rules, and a clear governing law, which enhances predictability and enforceability. Document B, while providing a clear arbitration mechanism, lacks specification of governing law, which can lead to uncertainties.</w:t>
      </w:r>
    </w:p>
    <w:p>
      <w:pPr>
        <w:pStyle w:val="Heading2"/>
      </w:pPr>
      <w:r>
        <w:t>Comparison Insight</w:t>
      </w:r>
    </w:p>
    <w:p>
      <w:r>
        <w:t>Document A's arbitration structure involves a Board of Arbitrators with representatives from the Railway Administration, Concessionaire, and Lenders' Representative, ensuring neutrality and balanced representation. It follows the Rules of Arbitration of the International Centre for Alternative Dispute Resolution and is subject to the Arbitration and Conciliation Act, 1996, providing a predictable and enforceable framework. Document B appoints a sole arbitrator by the General Manager of Northern Railway, which may not be perceived as neutral. The absence of a specified governing law in Document B introduces potential uncertainties in legal interpretation.</w:t>
      </w:r>
    </w:p>
    <w:p>
      <w:r>
        <w:t>Impact on Cash Flows:</w:t>
      </w:r>
    </w:p>
    <w:p>
      <w:r>
        <w:t>The structured and neutral dispute resolution framework in Document A can lead to reduced transaction costs and increased legal certainty, positively impacting cash flows by minimizing disruptions. The predictability and enforceability of the arbitration process enhance lender confidence, potentially improving financing terms. In contrast, the lack of governing law in Document B may increase legal risks and costs, potentially affecting cash flows negatively due to uncertainties in dispute outcomes.</w:t>
      </w:r>
    </w:p>
    <w:p>
      <w:pPr>
        <w:pStyle w:val="Heading2"/>
      </w:pPr>
      <w:r>
        <w:t>Clause Evidence</w:t>
      </w:r>
    </w:p>
    <w:p>
      <w:pPr>
        <w:pStyle w:val="Heading2"/>
      </w:pPr>
      <w:r>
        <w:t>- Document A</w:t>
      </w:r>
    </w:p>
    <w:p>
      <w:pPr>
        <w:pStyle w:val="ListBullet"/>
      </w:pPr>
      <w:r>
        <w:t>"Any dispute, difference or claim arising out of or in connection with this Agreement which is not resolved amicably shall be decided by reference to arbitration to a Board of Arbitrators comprising one nominee each of the Railway Administration, Concessionaire and the Lenders' Representative." (Clause 8.1.1)</w:t>
      </w:r>
    </w:p>
    <w:p>
      <w:pPr>
        <w:pStyle w:val="ListBullet"/>
      </w:pPr>
      <w:r>
        <w:t>"Such arbitration shall be held in accordance with the Rules of Arbitration of the International Centre for Alternative Dispute Resolution, New Delhi (the 'Rules') or such other rules as may be mutually agreed by the Parties, and shall be subject to provisions of the Arbitration and Conciliation Act, 1996." (Clause 8.1.1)</w:t>
      </w:r>
    </w:p>
    <w:p>
      <w:pPr>
        <w:pStyle w:val="ListBullet"/>
      </w:pPr>
      <w:r>
        <w:t>"The Arbitrators shall issue a reasoned award and such award shall be final and binding on the Parties. The venue of arbitration shall be Delhi and the language of arbitration shall be English." (Clause 8.1.2)</w:t>
      </w:r>
    </w:p>
    <w:p>
      <w:pPr>
        <w:pStyle w:val="ListBullet"/>
      </w:pPr>
      <w:r>
        <w:t>"This Agreement shall be construed and interpreted in accordance with and governed by the laws of India, and the Courts at Delhi shall have jurisdiction over all matters arising out of or relating to this Agreement." (Clause 9.1)</w:t>
      </w:r>
    </w:p>
    <w:p>
      <w:pPr>
        <w:pStyle w:val="Heading2"/>
      </w:pPr>
      <w:r>
        <w:t>- Document B</w:t>
      </w:r>
    </w:p>
    <w:p>
      <w:pPr>
        <w:pStyle w:val="ListBullet"/>
      </w:pPr>
      <w:r>
        <w:t>"In the event of any dispute or difference of opinion between the parties as to the true intent and meaning of these presents or any articles or conditions thereof arising such dispute or difference of opinion (except the matters in regarding which the decision has been specifically provided for in this Agreement) shall be referred to the sole arbitration of an arbitrator to be appointed by General Manager, Northern Railway for the time being, and his decision shall be final conclusive and binding on the parties." (Clause 39)</w:t>
      </w:r>
    </w:p>
    <w:p>
      <w:r>
        <w:t>Evidence Strength: HIGH</w:t>
      </w:r>
    </w:p>
    <w:p>
      <w:r>
        <w:br w:type="page"/>
      </w:r>
    </w:p>
    <w:p>
      <w:pPr>
        <w:pStyle w:val="Heading1"/>
      </w:pPr>
      <w:r>
        <w:t>07. Termination</w:t>
      </w:r>
    </w:p>
    <w:p>
      <w:pPr>
        <w:pStyle w:val="IntenseQuote"/>
      </w:pPr>
      <w:r>
        <w:t>Which MCA exposes the Concessionaire to higher termination risk, and how does this affect equity protection, cash flow continuity, and lender confidence?</w:t>
        <w:br/>
        <w:br/>
        <w:t>Compare both agreements using termination triggers, cure periods, compensation provisions, and clause evidence with evidence strength assessment.</w:t>
      </w:r>
    </w:p>
    <w:p>
      <w:pPr>
        <w:pStyle w:val="Heading2"/>
      </w:pPr>
      <w:r>
        <w:t>Finding</w:t>
      </w:r>
    </w:p>
    <w:p>
      <w:r>
        <w:t>Document A (Adani Mundra Port agreement for operations) exposes the Concessionaire to termination risks primarily linked to financial defaults and the absence of a Nominated Company. Document B (Bahuli_IOCL_compressed) presents broader termination triggers, including insolvency, liquidation, and operational failures, with the Railway Administration having significant discretion to terminate without prior notice.</w:t>
      </w:r>
    </w:p>
    <w:p>
      <w:pPr>
        <w:pStyle w:val="Heading2"/>
      </w:pPr>
      <w:r>
        <w:t>Comparison Insight</w:t>
      </w:r>
    </w:p>
    <w:p>
      <w:r>
        <w:t>Document A provides a structured approach to termination with specific financial default triggers and a mechanism for a Nominated Company to step in, which can mitigate risks. Document B, however, allows for termination on a wider range of events, including operational and financial issues, without prior notice, increasing the Concessionaire's exposure to termination risk.</w:t>
      </w:r>
    </w:p>
    <w:p>
      <w:r>
        <w:t>Impact on Cash Flows:</w:t>
      </w:r>
    </w:p>
    <w:p>
      <w:r>
        <w:t>In Document A, the structured termination and step-in rights can help maintain cash flow continuity by allowing a Nominated Company to take over operations. In contrast, Document B's broad termination rights and lack of step-in provisions could disrupt cash flows significantly, as the Railway Administration can terminate the agreement abruptly, impacting the Concessionaire's financial stability.</w:t>
      </w:r>
    </w:p>
    <w:p>
      <w:pPr>
        <w:pStyle w:val="Heading2"/>
      </w:pPr>
      <w:r>
        <w:t>Clause Evidence</w:t>
      </w:r>
    </w:p>
    <w:p>
      <w:pPr>
        <w:pStyle w:val="Heading2"/>
      </w:pPr>
      <w:r>
        <w:t>- Document A</w:t>
      </w:r>
    </w:p>
    <w:p>
      <w:pPr>
        <w:pStyle w:val="ListBullet"/>
      </w:pPr>
      <w:r>
        <w:t>"5.1 Termination upon occurrence of Financial Default... the Lenders' Representative may by a notice in writing require the Railway Administration to terminate the Concession Agreement forthwith..."</w:t>
      </w:r>
    </w:p>
    <w:p>
      <w:pPr>
        <w:pStyle w:val="ListBullet"/>
      </w:pPr>
      <w:r>
        <w:t>"5.2 Termination when no Nominated Company is selected... the Railway Administration may terminate the Concession Agreement forthwith..."</w:t>
      </w:r>
    </w:p>
    <w:p>
      <w:pPr>
        <w:pStyle w:val="ListBullet"/>
      </w:pPr>
      <w:r>
        <w:t>"4.1 Substitution of Nominated Company in Project Agreements... entitle the Nominated Company to step into such Project Agreement..."</w:t>
      </w:r>
    </w:p>
    <w:p>
      <w:pPr>
        <w:pStyle w:val="Heading2"/>
      </w:pPr>
      <w:r>
        <w:t>- Document B</w:t>
      </w:r>
    </w:p>
    <w:p>
      <w:pPr>
        <w:pStyle w:val="ListBullet"/>
      </w:pPr>
      <w:r>
        <w:t>"The Agreement may be determined by the Railway Administration without prior notice at any time after the happening of any of the following events..." (Clause 25)</w:t>
      </w:r>
    </w:p>
    <w:p>
      <w:pPr>
        <w:pStyle w:val="ListBullet"/>
      </w:pPr>
      <w:r>
        <w:t>"On termination of this agreement under provisions of clauses 22, 23, 24, 25, and 27 thereof the Railway Administration shall be entitled to disconnect from their railway the portion of the said siding..." (Clause 26)</w:t>
      </w:r>
    </w:p>
    <w:p>
      <w:pPr>
        <w:pStyle w:val="ListBullet"/>
      </w:pPr>
      <w:r>
        <w:t>"The Railway Administration shall have the absolute right to refuse at any time to allow their rolling stock to go on or be used upon the siding..." (Clause 27)</w:t>
      </w:r>
    </w:p>
    <w:p>
      <w:r>
        <w:t>Evidence Strength: HIGH</w:t>
      </w:r>
    </w:p>
    <w:p>
      <w:r>
        <w:br w:type="page"/>
      </w:r>
    </w:p>
    <w:p>
      <w:pPr>
        <w:pStyle w:val="Heading1"/>
      </w:pPr>
      <w:r>
        <w:t>08. Exit &amp; End-of-Term Provisions</w:t>
      </w:r>
    </w:p>
    <w:p>
      <w:pPr>
        <w:pStyle w:val="IntenseQuote"/>
      </w:pPr>
      <w:r>
        <w:t>Which MCA provides greater flexibility and certainty for exit and end-of-term outcomes for the Concessionaire, and how does this affect recoverability of investment and refinancing options?</w:t>
        <w:br/>
        <w:br/>
        <w:t>Compare both agreements based on exit rights, transfer provisions, handover obligations, residual value treatment, and clause evidence with evidence strength assessment.</w:t>
      </w:r>
    </w:p>
    <w:p>
      <w:pPr>
        <w:pStyle w:val="Heading2"/>
      </w:pPr>
      <w:r>
        <w:t>Finding</w:t>
      </w:r>
    </w:p>
    <w:p>
      <w:r>
        <w:t>Document A (Adani Mundra Port agreement) provides greater flexibility and certainty for exit and end-of-term outcomes for the Concessionaire compared to Document B (Bahuli_IOCL_compressed). Document A includes explicit provisions for termination, assignment, and transfer, which enhance the Concessionaire's ability to manage exit strategies and refinancing options. In contrast, Document B imposes more restrictions on assignment and lacks detailed step-in rights, limiting flexibility.</w:t>
      </w:r>
    </w:p>
    <w:p>
      <w:pPr>
        <w:pStyle w:val="Heading2"/>
      </w:pPr>
      <w:r>
        <w:t>Comparison Insight</w:t>
      </w:r>
    </w:p>
    <w:p>
      <w:r>
        <w:t>Document A allows for termination upon financial default and provides mechanisms for assignment and transfer, subject to certain conditions, which supports refinancing and exit strategies. It also includes provisions for a Nominated Company to step in, ensuring continuity. Document B, however, restricts assignment and transfer without prior consent and lacks step-in rights, which could hinder refinancing and exit options. The broad termination rights of the Railway Administration in Document B introduce additional uncertainty.</w:t>
      </w:r>
    </w:p>
    <w:p>
      <w:r>
        <w:t>Impact on Cash Flows:</w:t>
      </w:r>
    </w:p>
    <w:p>
      <w:r>
        <w:t>Document A's flexibility in assignment and transfer, along with clear termination provisions, can positively impact cash flows by facilitating refinancing and attracting investment. The ability to step in and substitute parties ensures continuity and reduces disruption. Document B's restrictions and lack of step-in rights may negatively impact cash flows by limiting refinancing options and increasing the risk of financial liabilities upon termination.</w:t>
      </w:r>
    </w:p>
    <w:p>
      <w:pPr>
        <w:pStyle w:val="Heading2"/>
      </w:pPr>
      <w:r>
        <w:t>Clause Evidence</w:t>
      </w:r>
    </w:p>
    <w:p>
      <w:pPr>
        <w:pStyle w:val="Heading2"/>
      </w:pPr>
      <w:r>
        <w:t>- Document A</w:t>
      </w:r>
    </w:p>
    <w:p>
      <w:pPr>
        <w:pStyle w:val="ListBullet"/>
      </w:pPr>
      <w:r>
        <w:t>"5.1 Termination upon occurrence of Financial Default... the Lenders' Representative may by a notice in writing require the Railway Administration to terminate the Concession Agreement forthwith..."</w:t>
      </w:r>
    </w:p>
    <w:p>
      <w:pPr>
        <w:pStyle w:val="ListBullet"/>
      </w:pPr>
      <w:r>
        <w:t>"12.1.1 The Concessionaire shall not transfer and/or assign this Agreement, before the completion of 1 (one) year from the Commercial Operation Date, to any third party except if the same is done in favour of a direct/indirect subsidiary or holding company..."</w:t>
      </w:r>
    </w:p>
    <w:p>
      <w:pPr>
        <w:pStyle w:val="ListBullet"/>
      </w:pPr>
      <w:r>
        <w:t>"4.1 Substitution of Nominated Company in Project Agreements... entitle the Nominated Company to step into such Project Agreement..."</w:t>
      </w:r>
    </w:p>
    <w:p>
      <w:pPr>
        <w:pStyle w:val="Heading2"/>
      </w:pPr>
      <w:r>
        <w:t>- Document B</w:t>
      </w:r>
    </w:p>
    <w:p>
      <w:pPr>
        <w:pStyle w:val="ListBullet"/>
      </w:pPr>
      <w:r>
        <w:t>"The Agreement may be determined by the Railway Administration without prior notice at any time after the happening of any of the following events..." (Clause 25)</w:t>
      </w:r>
    </w:p>
    <w:p>
      <w:pPr>
        <w:pStyle w:val="ListBullet"/>
      </w:pPr>
      <w:r>
        <w:t>"The Applicant shall not be entitled to assign or transfer or sublet or permit to be used or enjoyed by any other person in any manner whatsoever any of the rights or benefits conferred upon the Applicant by these presents and any purported assignment, transfer or subletting or permission shall be void and of no effect..." (Clause 21).</w:t>
      </w:r>
    </w:p>
    <w:p>
      <w:r>
        <w:t>Evidence Strength: HIGH</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