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pPr>
      <w:r>
        <w:rPr>
          <w:b/>
          <w:color w:val="18646E"/>
          <w:sz w:val="16"/>
        </w:rPr>
        <w:t>GUIDE DU MODÈLE SECTORIEL</w:t>
      </w:r>
    </w:p>
    <w:p>
      <w:pPr>
        <w:pStyle w:val="Title"/>
      </w:pPr>
      <w:r>
        <w:t>Modèle sectoriel EU / US</w:t>
      </w:r>
    </w:p>
    <w:p>
      <w:pPr>
        <w:pStyle w:val="Subtitle"/>
      </w:pPr>
      <w:r>
        <w:t>Guide de production et principes de calcul</w:t>
      </w:r>
    </w:p>
    <w:p>
      <w:pPr>
        <w:pBdr>
          <w:bottom w:val="single" w:sz="8" w:color="BCD2D6"/>
        </w:pBdr>
      </w:pPr>
      <w:r>
        <w:rPr>
          <w:color w:val="626D79"/>
          <w:sz w:val="17"/>
        </w:rPr>
        <w:t>Octobre 2026  •  Guide pratique</w:t>
      </w:r>
    </w:p>
    <w:p>
      <w:r>
        <w:t>Le modèle compare les secteurs en Europe (EU) et aux États-Unis (US). Chaque mois, il donne une recommandation Positive, Neutral ou Negative pour chaque secteur. Les données viennent d'Excel. Python fait les calculs et écrit les résultats dans Excel.</w:t>
      </w:r>
    </w:p>
    <w:p>
      <w:pPr>
        <w:jc w:val="center"/>
      </w:pPr>
      <w:r>
        <w:rPr>
          <w:b/>
          <w:color w:val="18646E"/>
          <w:sz w:val="18"/>
        </w:rPr>
        <w:t>Sources Excel  →  Historique mensuel  →  Scores et votes  →  Dashboard et exports</w:t>
      </w:r>
    </w:p>
    <w:p>
      <w:pPr>
        <w:pStyle w:val="Heading1"/>
      </w:pPr>
      <w:r>
        <w:t>1. Produire le mois</w:t>
      </w:r>
    </w:p>
    <w:p>
      <w:pPr>
        <w:pStyle w:val="StepText"/>
      </w:pPr>
      <w:r>
        <w:rPr>
          <w:b/>
          <w:color w:val="183049"/>
        </w:rPr>
        <w:t xml:space="preserve">1.  Actualiser les données.  </w:t>
      </w:r>
      <w:r>
        <w:t>Dans les classeurs EU et US et dans maj cycle macro2.xlsx, actualiser les données FactSet/Bloomberg. Vérifier les poids dans Bench et le taux US à 10 ans dans Cycle macro.</w:t>
      </w:r>
    </w:p>
    <w:p>
      <w:pPr>
        <w:pStyle w:val="StepText"/>
      </w:pPr>
      <w:r>
        <w:rPr>
          <w:b/>
          <w:color w:val="183049"/>
        </w:rPr>
        <w:t xml:space="preserve">2.  Enregistrer les entrées.  </w:t>
      </w:r>
      <w:r>
        <w:t>Enregistrer les fichiers, puis fermer les deux classeurs sectoriels, le fichier macro, data_history.xlsx et reco_secto_facto.xlsx.</w:t>
      </w:r>
    </w:p>
    <w:p>
      <w:pPr>
        <w:pStyle w:val="StepText"/>
      </w:pPr>
      <w:r>
        <w:rPr>
          <w:b/>
          <w:color w:val="183049"/>
        </w:rPr>
        <w:t xml:space="preserve">3.  Lancer le modèle.  </w:t>
      </w:r>
      <w:r>
        <w:t>Dans le dossier du projet, lancer python actualiser_excel.py. Le programme calcule EU et US, met à jour Output, Reco_histo et les graphiques, puis ouvre les deux classeurs.</w:t>
      </w:r>
    </w:p>
    <w:p>
      <w:pPr>
        <w:pStyle w:val="StepText"/>
      </w:pPr>
      <w:r>
        <w:rPr>
          <w:b/>
          <w:color w:val="183049"/>
        </w:rPr>
        <w:t xml:space="preserve">4.  Lire et archiver.  </w:t>
      </w:r>
      <w:r>
        <w:t>Lire output/actualisation.txt. Vérifier les dates et les recommandations dans Dashboard, puis conserver les fichiers du mois.</w:t>
      </w:r>
    </w:p>
    <w:p>
      <w:r>
        <w:t>Si un résultat manque (n.a.), vérifier d'abord les données et leurs dates, puis le taux US à 10 ans. Si un fichier s'ouvre en lecture seule, le fermer et relancer.</w:t>
      </w:r>
    </w:p>
    <w:p>
      <w:r>
        <w:t>Une copie des fichiers avant le calcul est placée dans output/avant_actualisation. Garder séparément les fichiers validés de chaque mois.</w:t>
      </w:r>
    </w:p>
    <w:p>
      <w:pPr>
        <w:pStyle w:val="Heading1"/>
      </w:pPr>
      <w:r>
        <w:t>2. Données et calcul</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3033"/>
            <w:vAlign w:val="center"/>
            <w:shd w:fill="183049"/>
            <w:tcMar>
              <w:top w:w="85" w:type="dxa"/>
              <w:bottom w:w="85" w:type="dxa"/>
              <w:left w:w="110" w:type="dxa"/>
              <w:right w:w="110" w:type="dxa"/>
            </w:tcMar>
          </w:tcPr>
          <w:p>
            <w:pPr>
              <w:pStyle w:val="TableNormal"/>
            </w:pPr>
            <w:r>
              <w:rPr>
                <w:b/>
                <w:color w:val="FFFFFF"/>
                <w:sz w:val="17"/>
              </w:rPr>
              <w:t>Source</w:t>
            </w:r>
          </w:p>
        </w:tc>
        <w:tc>
          <w:tcPr>
            <w:tcW w:type="dxa" w:w="6548"/>
            <w:vAlign w:val="center"/>
            <w:shd w:fill="183049"/>
            <w:tcMar>
              <w:top w:w="85" w:type="dxa"/>
              <w:bottom w:w="85" w:type="dxa"/>
              <w:left w:w="110" w:type="dxa"/>
              <w:right w:w="110" w:type="dxa"/>
            </w:tcMar>
          </w:tcPr>
          <w:p>
            <w:pPr>
              <w:pStyle w:val="TableNormal"/>
            </w:pPr>
            <w:r>
              <w:rPr>
                <w:b/>
                <w:color w:val="FFFFFF"/>
                <w:sz w:val="17"/>
              </w:rPr>
              <w:t>Rôle</w:t>
            </w:r>
          </w:p>
        </w:tc>
      </w:tr>
      <w:tr>
        <w:trPr>
          <w:cantSplit/>
        </w:trPr>
        <w:tc>
          <w:tcPr>
            <w:tcW w:type="dxa" w:w="3033"/>
            <w:vAlign w:val="center"/>
            <w:tcMar>
              <w:top w:w="85" w:type="dxa"/>
              <w:bottom w:w="85" w:type="dxa"/>
              <w:left w:w="110" w:type="dxa"/>
              <w:right w:w="110" w:type="dxa"/>
            </w:tcMar>
          </w:tcPr>
          <w:p>
            <w:pPr>
              <w:pStyle w:val="TableNormal"/>
            </w:pPr>
            <w:r>
              <w:rPr>
                <w:b/>
              </w:rPr>
              <w:t>Score_Sectoriel_EU_NEW.xlsx et Score_Sectoriel_US_NEW.xlsx</w:t>
            </w:r>
          </w:p>
        </w:tc>
        <w:tc>
          <w:tcPr>
            <w:tcW w:type="dxa" w:w="6548"/>
            <w:vAlign w:val="center"/>
            <w:tcMar>
              <w:top w:w="85" w:type="dxa"/>
              <w:bottom w:w="85" w:type="dxa"/>
              <w:left w:w="110" w:type="dxa"/>
              <w:right w:w="110" w:type="dxa"/>
            </w:tcMar>
          </w:tcPr>
          <w:p>
            <w:pPr>
              <w:pStyle w:val="TableNormal"/>
            </w:pPr>
            <w:r>
              <w:t>Returns_EQ pour les indices ; Leverage_FMA, Margin_FMA, Valuation_FMA_hist et Growth_FMA pour les données fondamentales ; MOM_FMA pour les prix et révisions. Bench contient les poids ; Cycle macro contient notamment le taux US 10 ans.</w:t>
            </w:r>
          </w:p>
        </w:tc>
      </w:tr>
      <w:tr>
        <w:trPr>
          <w:cantSplit/>
        </w:trPr>
        <w:tc>
          <w:tcPr>
            <w:tcW w:type="dxa" w:w="3033"/>
            <w:vAlign w:val="center"/>
            <w:tcMar>
              <w:top w:w="85" w:type="dxa"/>
              <w:bottom w:w="85" w:type="dxa"/>
              <w:left w:w="110" w:type="dxa"/>
              <w:right w:w="110" w:type="dxa"/>
            </w:tcMar>
            <w:shd w:fill="F3F7F9"/>
          </w:tcPr>
          <w:p>
            <w:pPr>
              <w:pStyle w:val="TableNormal"/>
            </w:pPr>
            <w:r>
              <w:rPr>
                <w:b/>
              </w:rPr>
              <w:t>maj cycle macro2.xlsx</w:t>
            </w:r>
          </w:p>
        </w:tc>
        <w:tc>
          <w:tcPr>
            <w:tcW w:type="dxa" w:w="6548"/>
            <w:vAlign w:val="center"/>
            <w:tcMar>
              <w:top w:w="85" w:type="dxa"/>
              <w:bottom w:w="85" w:type="dxa"/>
              <w:left w:w="110" w:type="dxa"/>
              <w:right w:w="110" w:type="dxa"/>
            </w:tcMar>
            <w:shd w:fill="F3F7F9"/>
          </w:tcPr>
          <w:p>
            <w:pPr>
              <w:pStyle w:val="TableNormal"/>
            </w:pPr>
            <w:r>
              <w:t>Scores et phases du cycle pour EU et US. Les composantes amont sont calculées et enregistrées dans Excel.</w:t>
            </w:r>
          </w:p>
        </w:tc>
      </w:tr>
      <w:tr>
        <w:trPr>
          <w:cantSplit/>
        </w:trPr>
        <w:tc>
          <w:tcPr>
            <w:tcW w:type="dxa" w:w="3033"/>
            <w:vAlign w:val="center"/>
            <w:tcMar>
              <w:top w:w="85" w:type="dxa"/>
              <w:bottom w:w="85" w:type="dxa"/>
              <w:left w:w="110" w:type="dxa"/>
              <w:right w:w="110" w:type="dxa"/>
            </w:tcMar>
          </w:tcPr>
          <w:p>
            <w:pPr>
              <w:pStyle w:val="TableNormal"/>
            </w:pPr>
            <w:r>
              <w:rPr>
                <w:b/>
              </w:rPr>
              <w:t>data_history.xlsx · Historique_data</w:t>
            </w:r>
          </w:p>
        </w:tc>
        <w:tc>
          <w:tcPr>
            <w:tcW w:type="dxa" w:w="6548"/>
            <w:vAlign w:val="center"/>
            <w:tcMar>
              <w:top w:w="85" w:type="dxa"/>
              <w:bottom w:w="85" w:type="dxa"/>
              <w:left w:w="110" w:type="dxa"/>
              <w:right w:w="110" w:type="dxa"/>
            </w:tcMar>
          </w:tcPr>
          <w:p>
            <w:pPr>
              <w:pStyle w:val="TableNormal"/>
            </w:pPr>
            <w:r>
              <w:t>Historique mensuel : première observation conservée par série et par mois.</w:t>
            </w:r>
          </w:p>
        </w:tc>
      </w:tr>
      <w:tr>
        <w:trPr>
          <w:cantSplit/>
        </w:trPr>
        <w:tc>
          <w:tcPr>
            <w:tcW w:type="dxa" w:w="3033"/>
            <w:vAlign w:val="center"/>
            <w:tcMar>
              <w:top w:w="85" w:type="dxa"/>
              <w:bottom w:w="85" w:type="dxa"/>
              <w:left w:w="110" w:type="dxa"/>
              <w:right w:w="110" w:type="dxa"/>
            </w:tcMar>
            <w:shd w:fill="F3F7F9"/>
          </w:tcPr>
          <w:p>
            <w:pPr>
              <w:pStyle w:val="TableNormal"/>
            </w:pPr>
            <w:r>
              <w:rPr>
                <w:b/>
              </w:rPr>
              <w:t>local_config.py</w:t>
            </w:r>
          </w:p>
        </w:tc>
        <w:tc>
          <w:tcPr>
            <w:tcW w:type="dxa" w:w="6548"/>
            <w:vAlign w:val="center"/>
            <w:tcMar>
              <w:top w:w="85" w:type="dxa"/>
              <w:bottom w:w="85" w:type="dxa"/>
              <w:left w:w="110" w:type="dxa"/>
              <w:right w:w="110" w:type="dxa"/>
            </w:tcMar>
            <w:shd w:fill="F3F7F9"/>
          </w:tcPr>
          <w:p>
            <w:pPr>
              <w:pStyle w:val="TableNormal"/>
            </w:pPr>
            <w:r>
              <w:t>Univers sectoriels, variables, fenêtres, compositions des piliers, sources et pondérations.</w:t>
            </w:r>
          </w:p>
        </w:tc>
      </w:tr>
    </w:tbl>
    <w:p>
      <w:pPr>
        <w:spacing w:after="0"/>
      </w:pPr>
    </w:p>
    <w:p>
      <w:pPr>
        <w:pStyle w:val="Heading2"/>
      </w:pPr>
      <w:r>
        <w:t>Calcul et mise à jour Excel</w:t>
      </w:r>
    </w:p>
    <w:p>
      <w:r>
        <w:t>data_utils.py lit les données et conserve leur historique. model_secto.py calcule les scores et les recommandations. excel_output.py écrit les résultats dans les fichiers Excel.</w:t>
      </w:r>
    </w:p>
    <w:p>
      <w:r>
        <w:t>Les deux classeurs gardent leur présentation. Python écrit les valeurs dans Output et conserve les formules, les formats et les graphiques du Dashboard. Reco_histo reçoit les nouveaux mois. reco_secto_facto.xlsx répartit les recommandations sur les 19 supersecteurs.</w:t>
      </w:r>
    </w:p>
    <w:p>
      <w:r>
        <w:t>data_history.xlsx garde les données utilisées pour le calcul. Reco_histo garde les recommandations passées. Ces deux historiques ont donc des rôles différents.</w:t>
      </w:r>
    </w:p>
    <w:p>
      <w:pPr>
        <w:pStyle w:val="Heading1"/>
      </w:pPr>
      <w:r>
        <w:t>3. Lire les résultats</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296"/>
            <w:vAlign w:val="center"/>
            <w:shd w:fill="183049"/>
            <w:tcMar>
              <w:top w:w="85" w:type="dxa"/>
              <w:bottom w:w="85" w:type="dxa"/>
              <w:left w:w="110" w:type="dxa"/>
              <w:right w:w="110" w:type="dxa"/>
            </w:tcMar>
          </w:tcPr>
          <w:p>
            <w:pPr>
              <w:pStyle w:val="TableNormal"/>
            </w:pPr>
            <w:r>
              <w:rPr>
                <w:b/>
                <w:color w:val="FFFFFF"/>
                <w:sz w:val="17"/>
              </w:rPr>
              <w:t>Vue</w:t>
            </w:r>
          </w:p>
        </w:tc>
        <w:tc>
          <w:tcPr>
            <w:tcW w:type="dxa" w:w="7285"/>
            <w:vAlign w:val="center"/>
            <w:shd w:fill="183049"/>
            <w:tcMar>
              <w:top w:w="85" w:type="dxa"/>
              <w:bottom w:w="85" w:type="dxa"/>
              <w:left w:w="110" w:type="dxa"/>
              <w:right w:w="110" w:type="dxa"/>
            </w:tcMar>
          </w:tcPr>
          <w:p>
            <w:pPr>
              <w:pStyle w:val="TableNormal"/>
            </w:pPr>
            <w:r>
              <w:rPr>
                <w:b/>
                <w:color w:val="FFFFFF"/>
                <w:sz w:val="17"/>
              </w:rPr>
              <w:t>Contenu</w:t>
            </w:r>
          </w:p>
        </w:tc>
      </w:tr>
      <w:tr>
        <w:trPr>
          <w:cantSplit/>
        </w:trPr>
        <w:tc>
          <w:tcPr>
            <w:tcW w:type="dxa" w:w="2296"/>
            <w:vAlign w:val="center"/>
            <w:tcMar>
              <w:top w:w="85" w:type="dxa"/>
              <w:bottom w:w="85" w:type="dxa"/>
              <w:left w:w="110" w:type="dxa"/>
              <w:right w:w="110" w:type="dxa"/>
            </w:tcMar>
          </w:tcPr>
          <w:p>
            <w:pPr>
              <w:pStyle w:val="TableNormal"/>
            </w:pPr>
            <w:r>
              <w:rPr>
                <w:b/>
              </w:rPr>
              <w:t>Dashboard</w:t>
            </w:r>
          </w:p>
        </w:tc>
        <w:tc>
          <w:tcPr>
            <w:tcW w:type="dxa" w:w="7285"/>
            <w:vAlign w:val="center"/>
            <w:tcMar>
              <w:top w:w="85" w:type="dxa"/>
              <w:bottom w:w="85" w:type="dxa"/>
              <w:left w:w="110" w:type="dxa"/>
              <w:right w:w="110" w:type="dxa"/>
            </w:tcMar>
          </w:tcPr>
          <w:p>
            <w:pPr>
              <w:pStyle w:val="TableNormal"/>
            </w:pPr>
            <w:r>
              <w:t>Scores, recommandations, mini-historiques et graphiques de performances.</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Contexte du mois, variables brutes et scores, recommandations récentes, historiques détaillés et séries de performance.</w:t>
            </w:r>
          </w:p>
        </w:tc>
      </w:tr>
      <w:tr>
        <w:trPr>
          <w:cantSplit/>
        </w:trPr>
        <w:tc>
          <w:tcPr>
            <w:tcW w:type="dxa" w:w="2296"/>
            <w:vAlign w:val="center"/>
            <w:tcMar>
              <w:top w:w="85" w:type="dxa"/>
              <w:bottom w:w="85" w:type="dxa"/>
              <w:left w:w="110" w:type="dxa"/>
              <w:right w:w="110" w:type="dxa"/>
            </w:tcMar>
          </w:tcPr>
          <w:p>
            <w:pPr>
              <w:pStyle w:val="TableNormal"/>
            </w:pPr>
            <w:r>
              <w:rPr>
                <w:b/>
              </w:rPr>
              <w:t>Reco_histo</w:t>
            </w:r>
          </w:p>
        </w:tc>
        <w:tc>
          <w:tcPr>
            <w:tcW w:type="dxa" w:w="7285"/>
            <w:vAlign w:val="center"/>
            <w:tcMar>
              <w:top w:w="85" w:type="dxa"/>
              <w:bottom w:w="85" w:type="dxa"/>
              <w:left w:w="110" w:type="dxa"/>
              <w:right w:w="110" w:type="dxa"/>
            </w:tcMar>
          </w:tcPr>
          <w:p>
            <w:pPr>
              <w:pStyle w:val="TableNormal"/>
            </w:pPr>
            <w:r>
              <w:t>Recommandations archivées avec leur date de signal.</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*_output.xlsx, tableaux Excel de recommandations et de performances, ainsi que actualisation.txt.</w:t>
            </w:r>
          </w:p>
        </w:tc>
      </w:tr>
    </w:tbl>
    <w:p>
      <w:pPr>
        <w:spacing w:after="0"/>
      </w:pPr>
    </w:p>
    <w:p>
      <w:r>
        <w:t>La date du signal est la fin du mois étudié. La répartition proposée s'applique au mois suivant. Output montre 15 mois récents et les petits graphiques montrent 60 mois.</w:t>
      </w:r>
    </w:p>
    <w:p>
      <w:pPr>
        <w:pStyle w:val="Heading2"/>
      </w:pPr>
      <w:r>
        <w:t>Indice de référence (benchmark)</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34"/>
            <w:vAlign w:val="center"/>
            <w:shd w:fill="183049"/>
            <w:tcMar>
              <w:top w:w="85" w:type="dxa"/>
              <w:bottom w:w="85" w:type="dxa"/>
              <w:left w:w="110" w:type="dxa"/>
              <w:right w:w="110" w:type="dxa"/>
            </w:tcMar>
          </w:tcPr>
          <w:p>
            <w:pPr>
              <w:pStyle w:val="TableNormal"/>
            </w:pPr>
            <w:r>
              <w:rPr>
                <w:b/>
                <w:color w:val="FFFFFF"/>
                <w:sz w:val="17"/>
              </w:rPr>
              <w:t>Marché</w:t>
            </w:r>
          </w:p>
        </w:tc>
        <w:tc>
          <w:tcPr>
            <w:tcW w:type="dxa" w:w="4167"/>
            <w:vAlign w:val="center"/>
            <w:shd w:fill="183049"/>
            <w:tcMar>
              <w:top w:w="85" w:type="dxa"/>
              <w:bottom w:w="85" w:type="dxa"/>
              <w:left w:w="110" w:type="dxa"/>
              <w:right w:w="110" w:type="dxa"/>
            </w:tcMar>
          </w:tcPr>
          <w:p>
            <w:pPr>
              <w:pStyle w:val="TableNormal"/>
            </w:pPr>
            <w:r>
              <w:rPr>
                <w:b/>
                <w:color w:val="FFFFFF"/>
                <w:sz w:val="17"/>
              </w:rPr>
              <w:t>Rendements</w:t>
            </w:r>
          </w:p>
        </w:tc>
        <w:tc>
          <w:tcPr>
            <w:tcW w:type="dxa" w:w="4280"/>
            <w:vAlign w:val="center"/>
            <w:shd w:fill="183049"/>
            <w:tcMar>
              <w:top w:w="85" w:type="dxa"/>
              <w:bottom w:w="85" w:type="dxa"/>
              <w:left w:w="110" w:type="dxa"/>
              <w:right w:w="110" w:type="dxa"/>
            </w:tcMar>
          </w:tcPr>
          <w:p>
            <w:pPr>
              <w:pStyle w:val="TableNormal"/>
            </w:pPr>
            <w:r>
              <w:rPr>
                <w:b/>
                <w:color w:val="FFFFFF"/>
                <w:sz w:val="17"/>
              </w:rPr>
              <w:t>Libellé des poids Bench</w:t>
            </w:r>
          </w:p>
        </w:tc>
      </w:tr>
      <w:tr>
        <w:trPr>
          <w:cantSplit/>
        </w:trPr>
        <w:tc>
          <w:tcPr>
            <w:tcW w:type="dxa" w:w="1134"/>
            <w:vAlign w:val="center"/>
            <w:tcMar>
              <w:top w:w="85" w:type="dxa"/>
              <w:bottom w:w="85" w:type="dxa"/>
              <w:left w:w="110" w:type="dxa"/>
              <w:right w:w="110" w:type="dxa"/>
            </w:tcMar>
          </w:tcPr>
          <w:p>
            <w:pPr>
              <w:pStyle w:val="TableNormal"/>
            </w:pPr>
            <w:r>
              <w:rPr>
                <w:b/>
              </w:rPr>
              <w:t>EU</w:t>
            </w:r>
          </w:p>
        </w:tc>
        <w:tc>
          <w:tcPr>
            <w:tcW w:type="dxa" w:w="4167"/>
            <w:vAlign w:val="center"/>
            <w:tcMar>
              <w:top w:w="85" w:type="dxa"/>
              <w:bottom w:w="85" w:type="dxa"/>
              <w:left w:w="110" w:type="dxa"/>
              <w:right w:w="110" w:type="dxa"/>
            </w:tcMar>
          </w:tcPr>
          <w:p>
            <w:pPr>
              <w:pStyle w:val="TableNormal"/>
            </w:pPr>
            <w:r>
              <w:t>FTSE World Europe</w:t>
            </w:r>
          </w:p>
        </w:tc>
        <w:tc>
          <w:tcPr>
            <w:tcW w:type="dxa" w:w="4280"/>
            <w:vAlign w:val="center"/>
            <w:tcMar>
              <w:top w:w="85" w:type="dxa"/>
              <w:bottom w:w="85" w:type="dxa"/>
              <w:left w:w="110" w:type="dxa"/>
              <w:right w:w="110" w:type="dxa"/>
            </w:tcMar>
          </w:tcPr>
          <w:p>
            <w:pPr>
              <w:pStyle w:val="TableNormal"/>
            </w:pPr>
            <w:r>
              <w:t>MSCI_ACWI_Europe</w:t>
            </w:r>
          </w:p>
        </w:tc>
      </w:tr>
      <w:tr>
        <w:trPr>
          <w:cantSplit/>
        </w:trPr>
        <w:tc>
          <w:tcPr>
            <w:tcW w:type="dxa" w:w="1134"/>
            <w:vAlign w:val="center"/>
            <w:tcMar>
              <w:top w:w="85" w:type="dxa"/>
              <w:bottom w:w="85" w:type="dxa"/>
              <w:left w:w="110" w:type="dxa"/>
              <w:right w:w="110" w:type="dxa"/>
            </w:tcMar>
            <w:shd w:fill="F3F7F9"/>
          </w:tcPr>
          <w:p>
            <w:pPr>
              <w:pStyle w:val="TableNormal"/>
            </w:pPr>
            <w:r>
              <w:rPr>
                <w:b/>
              </w:rPr>
              <w:t>US</w:t>
            </w:r>
          </w:p>
        </w:tc>
        <w:tc>
          <w:tcPr>
            <w:tcW w:type="dxa" w:w="4167"/>
            <w:vAlign w:val="center"/>
            <w:tcMar>
              <w:top w:w="85" w:type="dxa"/>
              <w:bottom w:w="85" w:type="dxa"/>
              <w:left w:w="110" w:type="dxa"/>
              <w:right w:w="110" w:type="dxa"/>
            </w:tcMar>
            <w:shd w:fill="F3F7F9"/>
          </w:tcPr>
          <w:p>
            <w:pPr>
              <w:pStyle w:val="TableNormal"/>
            </w:pPr>
            <w:r>
              <w:t>WIUSAU Index</w:t>
            </w:r>
          </w:p>
        </w:tc>
        <w:tc>
          <w:tcPr>
            <w:tcW w:type="dxa" w:w="4280"/>
            <w:vAlign w:val="center"/>
            <w:tcMar>
              <w:top w:w="85" w:type="dxa"/>
              <w:bottom w:w="85" w:type="dxa"/>
              <w:left w:w="110" w:type="dxa"/>
              <w:right w:w="110" w:type="dxa"/>
            </w:tcMar>
            <w:shd w:fill="F3F7F9"/>
          </w:tcPr>
          <w:p>
            <w:pPr>
              <w:pStyle w:val="TableNormal"/>
            </w:pPr>
            <w:r>
              <w:t>SP500_bench</w:t>
            </w:r>
          </w:p>
        </w:tc>
      </w:tr>
    </w:tbl>
    <w:p>
      <w:pPr>
        <w:spacing w:after="0"/>
      </w:pPr>
    </w:p>
    <w:p>
      <w:r>
        <w:t>Le benchmark est l'indice utilisé pour comparer la performance. Vérifier que la série de rendement et les poids utilisés sont cohérents.</w:t>
      </w:r>
    </w:p>
    <w:p>
      <w:pPr>
        <w:pStyle w:val="Heading1"/>
      </w:pPr>
      <w:r>
        <w:t>4. Secteurs et variables</w:t>
      </w:r>
    </w:p>
    <w:p>
      <w:r>
        <w:t>Le modèle utilise 13 secteurs en EU et 12 en US. EU comprend Pers. Goods et Auto. US comprend Retail à la place de Pers. Goods et ne comprend pas Auto. Chaque marché est classé séparément.</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672"/>
            <w:vAlign w:val="center"/>
            <w:shd w:fill="183049"/>
            <w:tcMar>
              <w:top w:w="85" w:type="dxa"/>
              <w:bottom w:w="85" w:type="dxa"/>
              <w:left w:w="110" w:type="dxa"/>
              <w:right w:w="110" w:type="dxa"/>
            </w:tcMar>
          </w:tcPr>
          <w:p>
            <w:pPr>
              <w:pStyle w:val="TableNormal"/>
            </w:pPr>
            <w:r>
              <w:rPr>
                <w:b/>
                <w:color w:val="FFFFFF"/>
                <w:sz w:val="17"/>
              </w:rPr>
              <w:t>Pilier</w:t>
            </w:r>
          </w:p>
        </w:tc>
        <w:tc>
          <w:tcPr>
            <w:tcW w:type="dxa" w:w="4139"/>
            <w:vAlign w:val="center"/>
            <w:shd w:fill="183049"/>
            <w:tcMar>
              <w:top w:w="85" w:type="dxa"/>
              <w:bottom w:w="85" w:type="dxa"/>
              <w:left w:w="110" w:type="dxa"/>
              <w:right w:w="110" w:type="dxa"/>
            </w:tcMar>
          </w:tcPr>
          <w:p>
            <w:pPr>
              <w:pStyle w:val="TableNormal"/>
            </w:pPr>
            <w:r>
              <w:rPr>
                <w:b/>
                <w:color w:val="FFFFFF"/>
                <w:sz w:val="17"/>
              </w:rPr>
              <w:t>EU : composition standard</w:t>
            </w:r>
          </w:p>
        </w:tc>
        <w:tc>
          <w:tcPr>
            <w:tcW w:type="dxa" w:w="3770"/>
            <w:vAlign w:val="center"/>
            <w:shd w:fill="183049"/>
            <w:tcMar>
              <w:top w:w="85" w:type="dxa"/>
              <w:bottom w:w="85" w:type="dxa"/>
              <w:left w:w="110" w:type="dxa"/>
              <w:right w:w="110" w:type="dxa"/>
            </w:tcMar>
          </w:tcPr>
          <w:p>
            <w:pPr>
              <w:pStyle w:val="TableNormal"/>
            </w:pPr>
            <w:r>
              <w:rPr>
                <w:b/>
                <w:color w:val="FFFFFF"/>
                <w:sz w:val="17"/>
              </w:rPr>
              <w:t>US : composition standard</w:t>
            </w:r>
          </w:p>
        </w:tc>
      </w:tr>
      <w:tr>
        <w:trPr>
          <w:cantSplit/>
        </w:trPr>
        <w:tc>
          <w:tcPr>
            <w:tcW w:type="dxa" w:w="1672"/>
            <w:vAlign w:val="center"/>
            <w:tcMar>
              <w:top w:w="85" w:type="dxa"/>
              <w:bottom w:w="85" w:type="dxa"/>
              <w:left w:w="110" w:type="dxa"/>
              <w:right w:w="110" w:type="dxa"/>
            </w:tcMar>
          </w:tcPr>
          <w:p>
            <w:pPr>
              <w:pStyle w:val="TableNormal"/>
            </w:pPr>
            <w:r>
              <w:rPr>
                <w:b/>
              </w:rPr>
              <w:t>Leverage</w:t>
            </w:r>
          </w:p>
        </w:tc>
        <w:tc>
          <w:tcPr>
            <w:tcW w:type="dxa" w:w="4139"/>
            <w:vAlign w:val="center"/>
            <w:tcMar>
              <w:top w:w="85" w:type="dxa"/>
              <w:bottom w:w="85" w:type="dxa"/>
              <w:left w:w="110" w:type="dxa"/>
              <w:right w:w="110" w:type="dxa"/>
            </w:tcMar>
          </w:tcPr>
          <w:p>
            <w:pPr>
              <w:pStyle w:val="TableNormal"/>
            </w:pPr>
            <w:r>
              <w:t>net_debt_ebitda, fcf_total_debt, debt_equity</w:t>
            </w:r>
          </w:p>
        </w:tc>
        <w:tc>
          <w:tcPr>
            <w:tcW w:type="dxa" w:w="3770"/>
            <w:vAlign w:val="center"/>
            <w:tcMar>
              <w:top w:w="85" w:type="dxa"/>
              <w:bottom w:w="85" w:type="dxa"/>
              <w:left w:w="110" w:type="dxa"/>
              <w:right w:w="110" w:type="dxa"/>
            </w:tcMar>
          </w:tcPr>
          <w:p>
            <w:pPr>
              <w:pStyle w:val="TableNormal"/>
            </w:pPr>
            <w:r>
              <w:t>net_debt_ebitda, fcf_total_debt</w:t>
            </w:r>
          </w:p>
        </w:tc>
      </w:tr>
      <w:tr>
        <w:trPr>
          <w:cantSplit/>
        </w:trPr>
        <w:tc>
          <w:tcPr>
            <w:tcW w:type="dxa" w:w="1672"/>
            <w:vAlign w:val="center"/>
            <w:tcMar>
              <w:top w:w="85" w:type="dxa"/>
              <w:bottom w:w="85" w:type="dxa"/>
              <w:left w:w="110" w:type="dxa"/>
              <w:right w:w="110" w:type="dxa"/>
            </w:tcMar>
            <w:shd w:fill="F3F7F9"/>
          </w:tcPr>
          <w:p>
            <w:pPr>
              <w:pStyle w:val="TableNormal"/>
            </w:pPr>
            <w:r>
              <w:rPr>
                <w:b/>
              </w:rPr>
              <w:t>Margin</w:t>
            </w:r>
          </w:p>
        </w:tc>
        <w:tc>
          <w:tcPr>
            <w:tcW w:type="dxa" w:w="4139"/>
            <w:vAlign w:val="center"/>
            <w:tcMar>
              <w:top w:w="85" w:type="dxa"/>
              <w:bottom w:w="85" w:type="dxa"/>
              <w:left w:w="110" w:type="dxa"/>
              <w:right w:w="110" w:type="dxa"/>
            </w:tcMar>
            <w:shd w:fill="F3F7F9"/>
          </w:tcPr>
          <w:p>
            <w:pPr>
              <w:pStyle w:val="TableNormal"/>
            </w:pPr>
            <w:r>
              <w:t>operating_margin, net_margin, ebitda_margin</w:t>
            </w:r>
          </w:p>
        </w:tc>
        <w:tc>
          <w:tcPr>
            <w:tcW w:type="dxa" w:w="3770"/>
            <w:vAlign w:val="center"/>
            <w:tcMar>
              <w:top w:w="85" w:type="dxa"/>
              <w:bottom w:w="85" w:type="dxa"/>
              <w:left w:w="110" w:type="dxa"/>
              <w:right w:w="110" w:type="dxa"/>
            </w:tcMar>
            <w:shd w:fill="F3F7F9"/>
          </w:tcPr>
          <w:p>
            <w:pPr>
              <w:pStyle w:val="TableNormal"/>
            </w:pPr>
            <w:r>
              <w:t>Comme EU</w:t>
            </w:r>
          </w:p>
        </w:tc>
      </w:tr>
      <w:tr>
        <w:trPr>
          <w:cantSplit/>
        </w:trPr>
        <w:tc>
          <w:tcPr>
            <w:tcW w:type="dxa" w:w="1672"/>
            <w:vAlign w:val="center"/>
            <w:tcMar>
              <w:top w:w="85" w:type="dxa"/>
              <w:bottom w:w="85" w:type="dxa"/>
              <w:left w:w="110" w:type="dxa"/>
              <w:right w:w="110" w:type="dxa"/>
            </w:tcMar>
          </w:tcPr>
          <w:p>
            <w:pPr>
              <w:pStyle w:val="TableNormal"/>
            </w:pPr>
            <w:r>
              <w:rPr>
                <w:b/>
              </w:rPr>
              <w:t>Value</w:t>
            </w:r>
          </w:p>
        </w:tc>
        <w:tc>
          <w:tcPr>
            <w:tcW w:type="dxa" w:w="4139"/>
            <w:vAlign w:val="center"/>
            <w:tcMar>
              <w:top w:w="85" w:type="dxa"/>
              <w:bottom w:w="85" w:type="dxa"/>
              <w:left w:w="110" w:type="dxa"/>
              <w:right w:w="110" w:type="dxa"/>
            </w:tcMar>
          </w:tcPr>
          <w:p>
            <w:pPr>
              <w:pStyle w:val="TableNormal"/>
            </w:pPr>
            <w:r>
              <w:t>price_fcf, ev_ebitda, price_sales</w:t>
            </w:r>
          </w:p>
        </w:tc>
        <w:tc>
          <w:tcPr>
            <w:tcW w:type="dxa" w:w="3770"/>
            <w:vAlign w:val="center"/>
            <w:tcMar>
              <w:top w:w="85" w:type="dxa"/>
              <w:bottom w:w="85" w:type="dxa"/>
              <w:left w:w="110" w:type="dxa"/>
              <w:right w:w="110" w:type="dxa"/>
            </w:tcMar>
          </w:tcPr>
          <w:p>
            <w:pPr>
              <w:pStyle w:val="TableNormal"/>
            </w:pPr>
            <w:r>
              <w:t>Comme EU ; pe calculé pour Fin</w:t>
            </w:r>
          </w:p>
        </w:tc>
      </w:tr>
      <w:tr>
        <w:trPr>
          <w:cantSplit/>
        </w:trPr>
        <w:tc>
          <w:tcPr>
            <w:tcW w:type="dxa" w:w="1672"/>
            <w:vAlign w:val="center"/>
            <w:tcMar>
              <w:top w:w="85" w:type="dxa"/>
              <w:bottom w:w="85" w:type="dxa"/>
              <w:left w:w="110" w:type="dxa"/>
              <w:right w:w="110" w:type="dxa"/>
            </w:tcMar>
            <w:shd w:fill="F3F7F9"/>
          </w:tcPr>
          <w:p>
            <w:pPr>
              <w:pStyle w:val="TableNormal"/>
            </w:pPr>
            <w:r>
              <w:rPr>
                <w:b/>
              </w:rPr>
              <w:t>Momentum</w:t>
            </w:r>
          </w:p>
        </w:tc>
        <w:tc>
          <w:tcPr>
            <w:tcW w:type="dxa" w:w="4139"/>
            <w:vAlign w:val="center"/>
            <w:tcMar>
              <w:top w:w="85" w:type="dxa"/>
              <w:bottom w:w="85" w:type="dxa"/>
              <w:left w:w="110" w:type="dxa"/>
              <w:right w:w="110" w:type="dxa"/>
            </w:tcMar>
            <w:shd w:fill="F3F7F9"/>
          </w:tcPr>
          <w:p>
            <w:pPr>
              <w:pStyle w:val="TableNormal"/>
            </w:pPr>
            <w:r>
              <w:t>momentum_6m_1m, momentum_12m_1m, earnings_revision_ratio</w:t>
            </w:r>
          </w:p>
        </w:tc>
        <w:tc>
          <w:tcPr>
            <w:tcW w:type="dxa" w:w="3770"/>
            <w:vAlign w:val="center"/>
            <w:tcMar>
              <w:top w:w="85" w:type="dxa"/>
              <w:bottom w:w="85" w:type="dxa"/>
              <w:left w:w="110" w:type="dxa"/>
              <w:right w:w="110" w:type="dxa"/>
            </w:tcMar>
            <w:shd w:fill="F3F7F9"/>
          </w:tcPr>
          <w:p>
            <w:pPr>
              <w:pStyle w:val="TableNormal"/>
            </w:pPr>
            <w:r>
              <w:t>Les mêmes trois signaux</w:t>
            </w:r>
          </w:p>
        </w:tc>
      </w:tr>
      <w:tr>
        <w:trPr>
          <w:cantSplit/>
        </w:trPr>
        <w:tc>
          <w:tcPr>
            <w:tcW w:type="dxa" w:w="1672"/>
            <w:vAlign w:val="center"/>
            <w:tcMar>
              <w:top w:w="85" w:type="dxa"/>
              <w:bottom w:w="85" w:type="dxa"/>
              <w:left w:w="110" w:type="dxa"/>
              <w:right w:w="110" w:type="dxa"/>
            </w:tcMar>
          </w:tcPr>
          <w:p>
            <w:pPr>
              <w:pStyle w:val="TableNormal"/>
            </w:pPr>
            <w:r>
              <w:rPr>
                <w:b/>
              </w:rPr>
              <w:t>Growth</w:t>
            </w:r>
          </w:p>
        </w:tc>
        <w:tc>
          <w:tcPr>
            <w:tcW w:type="dxa" w:w="4139"/>
            <w:vAlign w:val="center"/>
            <w:tcMar>
              <w:top w:w="85" w:type="dxa"/>
              <w:bottom w:w="85" w:type="dxa"/>
              <w:left w:w="110" w:type="dxa"/>
              <w:right w:w="110" w:type="dxa"/>
            </w:tcMar>
          </w:tcPr>
          <w:p>
            <w:pPr>
              <w:pStyle w:val="TableNormal"/>
            </w:pPr>
            <w:r>
              <w:t>eps_growth, sales_growth, ebitda_growth</w:t>
            </w:r>
          </w:p>
        </w:tc>
        <w:tc>
          <w:tcPr>
            <w:tcW w:type="dxa" w:w="3770"/>
            <w:vAlign w:val="center"/>
            <w:tcMar>
              <w:top w:w="85" w:type="dxa"/>
              <w:bottom w:w="85" w:type="dxa"/>
              <w:left w:w="110" w:type="dxa"/>
              <w:right w:w="110" w:type="dxa"/>
            </w:tcMar>
          </w:tcPr>
          <w:p>
            <w:pPr>
              <w:pStyle w:val="TableNormal"/>
            </w:pPr>
            <w:r>
              <w:t>cash_flow_growth, ebitda_growth</w:t>
            </w:r>
          </w:p>
        </w:tc>
      </w:tr>
      <w:tr>
        <w:trPr>
          <w:cantSplit/>
        </w:trPr>
        <w:tc>
          <w:tcPr>
            <w:tcW w:type="dxa" w:w="1672"/>
            <w:vAlign w:val="center"/>
            <w:tcMar>
              <w:top w:w="85" w:type="dxa"/>
              <w:bottom w:w="85" w:type="dxa"/>
              <w:left w:w="110" w:type="dxa"/>
              <w:right w:w="110" w:type="dxa"/>
            </w:tcMar>
            <w:shd w:fill="F3F7F9"/>
          </w:tcPr>
          <w:p>
            <w:pPr>
              <w:pStyle w:val="TableNormal"/>
            </w:pPr>
            <w:r>
              <w:rPr>
                <w:b/>
              </w:rPr>
              <w:t>Volatility</w:t>
            </w:r>
          </w:p>
        </w:tc>
        <w:tc>
          <w:tcPr>
            <w:tcW w:type="dxa" w:w="4139"/>
            <w:vAlign w:val="center"/>
            <w:tcMar>
              <w:top w:w="85" w:type="dxa"/>
              <w:bottom w:w="85" w:type="dxa"/>
              <w:left w:w="110" w:type="dxa"/>
              <w:right w:w="110" w:type="dxa"/>
            </w:tcMar>
            <w:shd w:fill="F3F7F9"/>
          </w:tcPr>
          <w:p>
            <w:pPr>
              <w:pStyle w:val="TableNormal"/>
            </w:pPr>
            <w:r>
              <w:t>volatility_6m, downside_volatility_18m</w:t>
            </w:r>
          </w:p>
        </w:tc>
        <w:tc>
          <w:tcPr>
            <w:tcW w:type="dxa" w:w="3770"/>
            <w:vAlign w:val="center"/>
            <w:tcMar>
              <w:top w:w="85" w:type="dxa"/>
              <w:bottom w:w="85" w:type="dxa"/>
              <w:left w:w="110" w:type="dxa"/>
              <w:right w:w="110" w:type="dxa"/>
            </w:tcMar>
            <w:shd w:fill="F3F7F9"/>
          </w:tcPr>
          <w:p>
            <w:pPr>
              <w:pStyle w:val="TableNormal"/>
            </w:pPr>
            <w:r>
              <w:t>Les mêmes deux mesures</w:t>
            </w:r>
          </w:p>
        </w:tc>
      </w:tr>
    </w:tbl>
    <w:p>
      <w:pPr>
        <w:spacing w:after="0"/>
      </w:pPr>
    </w:p>
    <w:p>
      <w:r>
        <w:t>En général, une dette, une valorisation ou une volatilité plus faible est favorable. Des marges, une croissance, un momentum ou une capacité de remboursement plus élevés sont favorables.</w:t>
      </w:r>
    </w:p>
    <w:p>
      <w:r>
        <w:t>Certains secteurs utilisent des variables différentes. Pour Value, Fin utilise ev_ebitda et price_sales en EU, puis pe et price_sales en US. Pour Growth, Fin utilise eps_growth et sales_growth dans les deux marchés. Tech utilise price_fcf et ev_ebitda pour Value.</w:t>
      </w:r>
    </w:p>
    <w:p>
      <w:r>
        <w:t>Depuis octobre 2011, Travel &amp; leisure ne reçoit pas de vote Top ou Worst.</w:t>
      </w:r>
    </w:p>
    <w:p>
      <w:pPr>
        <w:pStyle w:val="Heading1"/>
        <w:pageBreakBefore/>
      </w:pPr>
      <w:r>
        <w:t>5. Comment les scores sont calculés</w:t>
      </w:r>
    </w:p>
    <w:p>
      <w:pPr>
        <w:pStyle w:val="Heading2"/>
      </w:pPr>
      <w:r>
        <w:t>Score historique H</w:t>
      </w:r>
    </w:p>
    <w:p>
      <w:r>
        <w:t>Pour chaque mois, le modèle calcule l'écart entre la valeur du secteur et la moyenne des secteurs. Il compare ensuite cet écart avec les écarts passés du même secteur. Un écart favorable reçoit un score plus élevé.</w:t>
      </w:r>
    </w:p>
    <w:p>
      <w:r>
        <w:t>H = 10 × rang de l'écart / taille de la fenêtre. La fenêtre compte 61 mois : le mois en cours et les 60 mois précédents. Pour price_fcf et ev_ebitda de Tech, elle compte 37 mois. Le calcul utilise ces nombres même si certaines valeurs manquent.</w:t>
      </w:r>
    </w:p>
    <w:p>
      <w:pPr>
        <w:pStyle w:val="Heading2"/>
      </w:pPr>
      <w:r>
        <w:t>Score du mois X</w:t>
      </w:r>
    </w:p>
    <w:p>
      <w:r>
        <w:t>X classe les valeurs brutes de tous les secteurs du même mois et donne une note sur 10. Pour Margin en EU et US et pour Leverage en US, le score final de la variable est la moyenne de H et X. Les autres variables fondamentales utilisent H.</w:t>
      </w:r>
    </w:p>
    <w:p>
      <w:pPr>
        <w:pStyle w:val="Heading2"/>
      </w:pPr>
      <w:r>
        <w:t>Du score de chaque variable au pilier</w:t>
      </w:r>
    </w:p>
    <w:p>
      <w:r>
        <w:t>Un pilier est un groupe de variables. Son score est la moyenne des scores prévus pour le secteur. Si un score nécessaire manque, le score du pilier manque aussi. Les secteurs sont ensuite classés selon ce score.</w:t>
      </w:r>
    </w:p>
    <w:p>
      <w:pPr>
        <w:pStyle w:val="Heading1"/>
      </w:pPr>
      <w:r>
        <w:t>6. Momentum et volatilité</w:t>
      </w:r>
    </w:p>
    <w:p>
      <w:pPr>
        <w:pStyle w:val="Heading2"/>
      </w:pPr>
      <w:r>
        <w:t>Momentum</w:t>
      </w:r>
    </w:p>
    <w:p>
      <w:r>
        <w:t>Momentum utilise les variations de prix sur 6 et 12 mois et les révisions des prévisions de bénéfices. Les calculs de prix excluent normalement le mois en cours. Pour Tech, ils l'incluent.</w:t>
      </w:r>
    </w:p>
    <w:p>
      <w:r>
        <w:t>Le programme classe chaque mesure entre les secteurs, puis fait la moyenne des trois rangs. En EU, les rangs sont transformés en notes sur 10. En US, les rangs restent bruts.</w:t>
      </w:r>
    </w:p>
    <w:p>
      <w:pPr>
        <w:pStyle w:val="Heading2"/>
      </w:pPr>
      <w:r>
        <w:t>Volatility</w:t>
      </w:r>
    </w:p>
    <w:p>
      <w:r>
        <w:t>La volatilité mesure l'ampleur des variations de rendement. Le modèle utilise 7 mois pour la volatilité totale et les rendements négatifs de 19 mois pour la volatilité baissière. Les deux sont annualisées avec √12.</w:t>
      </w:r>
    </w:p>
    <w:p>
      <w:r>
        <w:t>Chaque mesure reçoit un score historique. Une volatilité plus faible donne un meilleur score. Le pilier est la moyenne des deux scores.</w:t>
      </w:r>
    </w:p>
    <w:p>
      <w:pPr>
        <w:pStyle w:val="Heading1"/>
      </w:pPr>
      <w:r>
        <w:t>7. Cycle macroéconomique et taux US 10 ans</w:t>
      </w:r>
    </w:p>
    <w:p>
      <w:r>
        <w:t>Le fichier macro donne un score et un cycle. En EU, le score est en U et le cycle en AB. En US, le score est en Q et le cycle en U. Le score EU est la moyenne de quatre indicateurs ; le score US utilise les poids 30/30/30/10.</w:t>
      </w:r>
    </w:p>
    <w:p>
      <w:r>
        <w:t>Le cycle peut être Expansion (E), Recovery (R), Slowdown (SD) ou Contraction (C). Il détermine le poids de chaque pilier dans le score ajusté au cycle, appelé tilt :</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62"/>
            <w:vAlign w:val="center"/>
            <w:shd w:fill="183049"/>
            <w:tcMar>
              <w:top w:w="43" w:type="dxa"/>
              <w:bottom w:w="43" w:type="dxa"/>
              <w:left w:w="110" w:type="dxa"/>
              <w:right w:w="110" w:type="dxa"/>
            </w:tcMar>
          </w:tcPr>
          <w:p>
            <w:pPr>
              <w:pStyle w:val="TableNormal"/>
            </w:pPr>
            <w:r>
              <w:rPr>
                <w:b/>
                <w:color w:val="FFFFFF"/>
                <w:sz w:val="17"/>
              </w:rPr>
              <w:t>Marché</w:t>
            </w:r>
          </w:p>
        </w:tc>
        <w:tc>
          <w:tcPr>
            <w:tcW w:type="dxa" w:w="1219"/>
            <w:vAlign w:val="center"/>
            <w:shd w:fill="183049"/>
            <w:tcMar>
              <w:top w:w="43" w:type="dxa"/>
              <w:bottom w:w="43" w:type="dxa"/>
              <w:left w:w="110" w:type="dxa"/>
              <w:right w:w="110" w:type="dxa"/>
            </w:tcMar>
          </w:tcPr>
          <w:p>
            <w:pPr>
              <w:pStyle w:val="TableNormal"/>
            </w:pPr>
            <w:r>
              <w:rPr>
                <w:b/>
                <w:color w:val="FFFFFF"/>
                <w:sz w:val="17"/>
              </w:rPr>
              <w:t>Régime</w:t>
            </w:r>
          </w:p>
        </w:tc>
        <w:tc>
          <w:tcPr>
            <w:tcW w:type="dxa" w:w="7200"/>
            <w:vAlign w:val="center"/>
            <w:shd w:fill="183049"/>
            <w:tcMar>
              <w:top w:w="43" w:type="dxa"/>
              <w:bottom w:w="43" w:type="dxa"/>
              <w:left w:w="110" w:type="dxa"/>
              <w:right w:w="110" w:type="dxa"/>
            </w:tcMar>
          </w:tcPr>
          <w:p>
            <w:pPr>
              <w:pStyle w:val="TableNormal"/>
            </w:pPr>
            <w:r>
              <w:rPr>
                <w:b/>
                <w:color w:val="FFFFFF"/>
                <w:sz w:val="17"/>
              </w:rPr>
              <w:t>Pondérations non nulles</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Margin, Value, Momentum, Growth, Volatility : 1/6 chacun</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10 % · Momentum 30 %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Leverage 10 % · Margin 10 % · Value 10 % · Momentum 35 % · Growth 35 %</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Value 30 % · Momentum 10 % · Growth 30 % · Volatility 30 %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Value, Momentum, Growth, Volatility : 20 % chacun</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20 % · Value 20 %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Momentum 50 % · Growth 50 %</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Leverage 10 % · Value 15 % · Momentum 30 % · Growth 15 % · Volatility 30 %</w:t>
            </w:r>
          </w:p>
        </w:tc>
      </w:tr>
    </w:tbl>
    <w:p>
      <w:pPr>
        <w:spacing w:after="0"/>
      </w:pPr>
    </w:p>
    <w:p>
      <w:r>
        <w:t>Le taux US à 10 ans est comparé à sa moyenne mobile exponentielle (0,715). Si l'écart dépasse son 85ᵉ percentile historique, le signal passe à On et ajoute des votes pour Leverage et Value.</w:t>
      </w:r>
    </w:p>
    <w:p>
      <w:pPr>
        <w:pStyle w:val="Heading1"/>
      </w:pPr>
      <w:r>
        <w:t>8. Score global et recommandations</w:t>
      </w:r>
    </w:p>
    <w:p>
      <w:r>
        <w:t>Le programme calcule un score de base et un score ajusté au cycle (tilt) à partir des rangs des piliers. Le rang du tilt devient le rang Macro du classement global. En EU, ce classement utilise six piliers et Macro ; en US, cinq piliers et Macro.</w:t>
      </w:r>
    </w:p>
    <w:p>
      <w:r>
        <w:t>Pour chaque pilier, les trois premiers secteurs reçoivent un vote Top et les trois derniers un vote Worst. Le tilt ajoute deux votes en EU et un vote en US. Quand le signal de taux est On, Leverage et Value comptent une fois de plus pour les secteurs classés Top ou Worst. Margin ne donne pas de vote Worst en US.</w:t>
      </w:r>
    </w:p>
    <w:p>
      <w:r>
        <w:t>Le programme choisit au maximum trois secteurs Positive et trois Negative selon les votes et le rang global. Si un secteur apparaît dans les deux listes, Positive est prioritaire. Les autres secteurs sont Neutral.</w:t>
      </w:r>
    </w:p>
    <w:p>
      <w:pPr>
        <w:pStyle w:val="Heading1"/>
      </w:pPr>
      <w:r>
        <w:t>9. Portefeuille et performances</w:t>
      </w:r>
    </w:p>
    <w:p>
      <w:r>
        <w:t>Pour calculer le rendement d'un mois, le modèle prend les recommandations du mois précédent et les derniers poids disponibles dans Bench. Il ajuste les poids selon la recommandation, puis les ramène à un total de 100 %.</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381"/>
            <w:vAlign w:val="center"/>
            <w:shd w:fill="183049"/>
            <w:tcMar>
              <w:top w:w="85" w:type="dxa"/>
              <w:bottom w:w="85" w:type="dxa"/>
              <w:left w:w="110" w:type="dxa"/>
              <w:right w:w="110" w:type="dxa"/>
            </w:tcMar>
          </w:tcPr>
          <w:p>
            <w:pPr>
              <w:pStyle w:val="TableNormal"/>
            </w:pPr>
            <w:r>
              <w:rPr>
                <w:b/>
                <w:color w:val="FFFFFF"/>
                <w:sz w:val="17"/>
              </w:rPr>
              <w:t>Recommandation</w:t>
            </w:r>
          </w:p>
        </w:tc>
        <w:tc>
          <w:tcPr>
            <w:tcW w:type="dxa" w:w="7200"/>
            <w:vAlign w:val="center"/>
            <w:shd w:fill="183049"/>
            <w:tcMar>
              <w:top w:w="85" w:type="dxa"/>
              <w:bottom w:w="85" w:type="dxa"/>
              <w:left w:w="110" w:type="dxa"/>
              <w:right w:w="110" w:type="dxa"/>
            </w:tcMar>
          </w:tcPr>
          <w:p>
            <w:pPr>
              <w:pStyle w:val="TableNormal"/>
            </w:pPr>
            <w:r>
              <w:rPr>
                <w:b/>
                <w:color w:val="FFFFFF"/>
                <w:sz w:val="17"/>
              </w:rPr>
              <w:t>Règle de poids</w:t>
            </w:r>
          </w:p>
        </w:tc>
      </w:tr>
      <w:tr>
        <w:trPr>
          <w:cantSplit/>
        </w:trPr>
        <w:tc>
          <w:tcPr>
            <w:tcW w:type="dxa" w:w="2381"/>
            <w:vAlign w:val="center"/>
            <w:tcMar>
              <w:top w:w="85" w:type="dxa"/>
              <w:bottom w:w="85" w:type="dxa"/>
              <w:left w:w="110" w:type="dxa"/>
              <w:right w:w="110" w:type="dxa"/>
            </w:tcMar>
          </w:tcPr>
          <w:p>
            <w:pPr>
              <w:pStyle w:val="TableNormal"/>
            </w:pPr>
            <w:r>
              <w:rPr>
                <w:b/>
              </w:rPr>
              <w:t>Positive</w:t>
            </w:r>
          </w:p>
        </w:tc>
        <w:tc>
          <w:tcPr>
            <w:tcW w:type="dxa" w:w="7200"/>
            <w:vAlign w:val="center"/>
            <w:tcMar>
              <w:top w:w="85" w:type="dxa"/>
              <w:bottom w:w="85" w:type="dxa"/>
              <w:left w:w="110" w:type="dxa"/>
              <w:right w:w="110" w:type="dxa"/>
            </w:tcMar>
          </w:tcPr>
          <w:p>
            <w:pPr>
              <w:pStyle w:val="TableNormal"/>
            </w:pPr>
            <w:r>
              <w:t>max(1,20 × poids Bench ; poids Bench + 5 points de pourcentage)</w:t>
            </w:r>
          </w:p>
        </w:tc>
      </w:tr>
      <w:tr>
        <w:trPr>
          <w:cantSplit/>
        </w:trPr>
        <w:tc>
          <w:tcPr>
            <w:tcW w:type="dxa" w:w="2381"/>
            <w:vAlign w:val="center"/>
            <w:tcMar>
              <w:top w:w="85" w:type="dxa"/>
              <w:bottom w:w="85" w:type="dxa"/>
              <w:left w:w="110" w:type="dxa"/>
              <w:right w:w="110" w:type="dxa"/>
            </w:tcMar>
            <w:shd w:fill="F3F7F9"/>
          </w:tcPr>
          <w:p>
            <w:pPr>
              <w:pStyle w:val="TableNormal"/>
            </w:pPr>
            <w:r>
              <w:rPr>
                <w:b/>
              </w:rPr>
              <w:t>Negative</w:t>
            </w:r>
          </w:p>
        </w:tc>
        <w:tc>
          <w:tcPr>
            <w:tcW w:type="dxa" w:w="7200"/>
            <w:vAlign w:val="center"/>
            <w:tcMar>
              <w:top w:w="85" w:type="dxa"/>
              <w:bottom w:w="85" w:type="dxa"/>
              <w:left w:w="110" w:type="dxa"/>
              <w:right w:w="110" w:type="dxa"/>
            </w:tcMar>
            <w:shd w:fill="F3F7F9"/>
          </w:tcPr>
          <w:p>
            <w:pPr>
              <w:pStyle w:val="TableNormal"/>
            </w:pPr>
            <w:r>
              <w:t>min(0,80 × poids Bench ; max(poids Bench − 5 points ; 0))</w:t>
            </w:r>
          </w:p>
        </w:tc>
      </w:tr>
      <w:tr>
        <w:trPr>
          <w:cantSplit/>
        </w:trPr>
        <w:tc>
          <w:tcPr>
            <w:tcW w:type="dxa" w:w="2381"/>
            <w:vAlign w:val="center"/>
            <w:tcMar>
              <w:top w:w="85" w:type="dxa"/>
              <w:bottom w:w="85" w:type="dxa"/>
              <w:left w:w="110" w:type="dxa"/>
              <w:right w:w="110" w:type="dxa"/>
            </w:tcMar>
          </w:tcPr>
          <w:p>
            <w:pPr>
              <w:pStyle w:val="TableNormal"/>
            </w:pPr>
            <w:r>
              <w:rPr>
                <w:b/>
              </w:rPr>
              <w:t>Neutral</w:t>
            </w:r>
          </w:p>
        </w:tc>
        <w:tc>
          <w:tcPr>
            <w:tcW w:type="dxa" w:w="7200"/>
            <w:vAlign w:val="center"/>
            <w:tcMar>
              <w:top w:w="85" w:type="dxa"/>
              <w:bottom w:w="85" w:type="dxa"/>
              <w:left w:w="110" w:type="dxa"/>
              <w:right w:w="110" w:type="dxa"/>
            </w:tcMar>
          </w:tcPr>
          <w:p>
            <w:pPr>
              <w:pStyle w:val="TableNormal"/>
            </w:pPr>
            <w:r>
              <w:t>Poids Bench conservé</w:t>
            </w:r>
          </w:p>
        </w:tc>
      </w:tr>
    </w:tbl>
    <w:p>
      <w:pPr>
        <w:spacing w:after="0"/>
      </w:pPr>
    </w:p>
    <w:p>
      <w:r>
        <w:t>Le rendement du portefeuille est la moyenne des rendements sectoriels, pondérée par les poids ajustés. Top et Bottom sont les rendements moyens des groupes recommandés. Long/Short = Top − Bottom. Les courbes commencent à 100.</w:t>
      </w:r>
    </w:p>
    <w:p>
      <w:r>
        <w:t>Les résultats sont affichés sur 1 mois, 3 mois, depuis le début de l'année (YTD), 1 an, 3 ans, 5 ans, tout l'historique et un zoom sur 1 an. Ils ne comprennent pas les coûts de transaction.</w:t>
      </w:r>
    </w:p>
    <w:p>
      <w:pPr>
        <w:pStyle w:val="Heading1"/>
      </w:pPr>
      <w:r>
        <w:t>10. Repères dans le code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976"/>
            <w:vAlign w:val="center"/>
            <w:shd w:fill="183049"/>
            <w:tcMar>
              <w:top w:w="85" w:type="dxa"/>
              <w:bottom w:w="85" w:type="dxa"/>
              <w:left w:w="110" w:type="dxa"/>
              <w:right w:w="110" w:type="dxa"/>
            </w:tcMar>
          </w:tcPr>
          <w:p>
            <w:pPr>
              <w:pStyle w:val="TableNormal"/>
            </w:pPr>
            <w:r>
              <w:rPr>
                <w:b/>
                <w:color w:val="FFFFFF"/>
                <w:sz w:val="17"/>
              </w:rPr>
              <w:t>Fichier</w:t>
            </w:r>
          </w:p>
        </w:tc>
        <w:tc>
          <w:tcPr>
            <w:tcW w:type="dxa" w:w="6605"/>
            <w:vAlign w:val="center"/>
            <w:shd w:fill="183049"/>
            <w:tcMar>
              <w:top w:w="85" w:type="dxa"/>
              <w:bottom w:w="85" w:type="dxa"/>
              <w:left w:w="110" w:type="dxa"/>
              <w:right w:w="110" w:type="dxa"/>
            </w:tcMar>
          </w:tcPr>
          <w:p>
            <w:pPr>
              <w:pStyle w:val="TableNormal"/>
            </w:pPr>
            <w:r>
              <w:rPr>
                <w:b/>
                <w:color w:val="FFFFFF"/>
                <w:sz w:val="17"/>
              </w:rPr>
              <w:t>Responsabilité</w:t>
            </w:r>
          </w:p>
        </w:tc>
      </w:tr>
      <w:tr>
        <w:trPr>
          <w:cantSplit/>
        </w:trPr>
        <w:tc>
          <w:tcPr>
            <w:tcW w:type="dxa" w:w="2976"/>
            <w:vAlign w:val="center"/>
            <w:tcMar>
              <w:top w:w="85" w:type="dxa"/>
              <w:bottom w:w="85" w:type="dxa"/>
              <w:left w:w="110" w:type="dxa"/>
              <w:right w:w="110" w:type="dxa"/>
            </w:tcMar>
          </w:tcPr>
          <w:p>
            <w:pPr>
              <w:pStyle w:val="TableNormal"/>
            </w:pPr>
            <w:r>
              <w:rPr>
                <w:b/>
              </w:rPr>
              <w:t>local_config.py</w:t>
            </w:r>
          </w:p>
        </w:tc>
        <w:tc>
          <w:tcPr>
            <w:tcW w:type="dxa" w:w="6605"/>
            <w:vAlign w:val="center"/>
            <w:tcMar>
              <w:top w:w="85" w:type="dxa"/>
              <w:bottom w:w="85" w:type="dxa"/>
              <w:left w:w="110" w:type="dxa"/>
              <w:right w:w="110" w:type="dxa"/>
            </w:tcMar>
          </w:tcPr>
          <w:p>
            <w:pPr>
              <w:pStyle w:val="TableNormal"/>
            </w:pPr>
            <w:r>
              <w:t>Variables, univers, paramètres, compositions et poids.</w:t>
            </w:r>
          </w:p>
        </w:tc>
      </w:tr>
      <w:tr>
        <w:trPr>
          <w:cantSplit/>
        </w:trPr>
        <w:tc>
          <w:tcPr>
            <w:tcW w:type="dxa" w:w="2976"/>
            <w:vAlign w:val="center"/>
            <w:tcMar>
              <w:top w:w="85" w:type="dxa"/>
              <w:bottom w:w="85" w:type="dxa"/>
              <w:left w:w="110" w:type="dxa"/>
              <w:right w:w="110" w:type="dxa"/>
            </w:tcMar>
            <w:shd w:fill="F3F7F9"/>
          </w:tcPr>
          <w:p>
            <w:pPr>
              <w:pStyle w:val="TableNormal"/>
            </w:pPr>
            <w:r>
              <w:rPr>
                <w:b/>
              </w:rPr>
              <w:t>data_utils.py</w:t>
            </w:r>
          </w:p>
        </w:tc>
        <w:tc>
          <w:tcPr>
            <w:tcW w:type="dxa" w:w="6605"/>
            <w:vAlign w:val="center"/>
            <w:tcMar>
              <w:top w:w="85" w:type="dxa"/>
              <w:bottom w:w="85" w:type="dxa"/>
              <w:left w:w="110" w:type="dxa"/>
              <w:right w:w="110" w:type="dxa"/>
            </w:tcMar>
            <w:shd w:fill="F3F7F9"/>
          </w:tcPr>
          <w:p>
            <w:pPr>
              <w:pStyle w:val="TableNormal"/>
            </w:pPr>
            <w:r>
              <w:t>Lecture des fichiers, dates, historique Historique_data.</w:t>
            </w:r>
          </w:p>
        </w:tc>
      </w:tr>
      <w:tr>
        <w:trPr>
          <w:cantSplit/>
        </w:trPr>
        <w:tc>
          <w:tcPr>
            <w:tcW w:type="dxa" w:w="2976"/>
            <w:vAlign w:val="center"/>
            <w:tcMar>
              <w:top w:w="85" w:type="dxa"/>
              <w:bottom w:w="85" w:type="dxa"/>
              <w:left w:w="110" w:type="dxa"/>
              <w:right w:w="110" w:type="dxa"/>
            </w:tcMar>
          </w:tcPr>
          <w:p>
            <w:pPr>
              <w:pStyle w:val="TableNormal"/>
            </w:pPr>
            <w:r>
              <w:rPr>
                <w:b/>
              </w:rPr>
              <w:t>model_secto.py</w:t>
            </w:r>
          </w:p>
        </w:tc>
        <w:tc>
          <w:tcPr>
            <w:tcW w:type="dxa" w:w="6605"/>
            <w:vAlign w:val="center"/>
            <w:tcMar>
              <w:top w:w="85" w:type="dxa"/>
              <w:bottom w:w="85" w:type="dxa"/>
              <w:left w:w="110" w:type="dxa"/>
              <w:right w:w="110" w:type="dxa"/>
            </w:tcMar>
          </w:tcPr>
          <w:p>
            <w:pPr>
              <w:pStyle w:val="TableNormal"/>
            </w:pPr>
            <w:r>
              <w:t>Mesures, sous-scores, piliers, macro, votes et recommandations.</w:t>
            </w:r>
          </w:p>
        </w:tc>
      </w:tr>
      <w:tr>
        <w:trPr>
          <w:cantSplit/>
        </w:trPr>
        <w:tc>
          <w:tcPr>
            <w:tcW w:type="dxa" w:w="2976"/>
            <w:vAlign w:val="center"/>
            <w:tcMar>
              <w:top w:w="85" w:type="dxa"/>
              <w:bottom w:w="85" w:type="dxa"/>
              <w:left w:w="110" w:type="dxa"/>
              <w:right w:w="110" w:type="dxa"/>
            </w:tcMar>
            <w:shd w:fill="F3F7F9"/>
          </w:tcPr>
          <w:p>
            <w:pPr>
              <w:pStyle w:val="TableNormal"/>
            </w:pPr>
            <w:r>
              <w:rPr>
                <w:b/>
              </w:rPr>
              <w:t>excel_output.py</w:t>
            </w:r>
          </w:p>
        </w:tc>
        <w:tc>
          <w:tcPr>
            <w:tcW w:type="dxa" w:w="6605"/>
            <w:vAlign w:val="center"/>
            <w:tcMar>
              <w:top w:w="85" w:type="dxa"/>
              <w:bottom w:w="85" w:type="dxa"/>
              <w:left w:w="110" w:type="dxa"/>
              <w:right w:w="110" w:type="dxa"/>
            </w:tcMar>
            <w:shd w:fill="F3F7F9"/>
          </w:tcPr>
          <w:p>
            <w:pPr>
              <w:pStyle w:val="TableNormal"/>
            </w:pPr>
            <w:r>
              <w:t>Output, portefeuille, exports et mise à jour des modèles XLSX.</w:t>
            </w:r>
          </w:p>
        </w:tc>
      </w:tr>
      <w:tr>
        <w:trPr>
          <w:cantSplit/>
        </w:trPr>
        <w:tc>
          <w:tcPr>
            <w:tcW w:type="dxa" w:w="2976"/>
            <w:vAlign w:val="center"/>
            <w:tcMar>
              <w:top w:w="85" w:type="dxa"/>
              <w:bottom w:w="85" w:type="dxa"/>
              <w:left w:w="110" w:type="dxa"/>
              <w:right w:w="110" w:type="dxa"/>
            </w:tcMar>
          </w:tcPr>
          <w:p>
            <w:pPr>
              <w:pStyle w:val="TableNormal"/>
            </w:pPr>
            <w:r>
              <w:rPr>
                <w:b/>
              </w:rPr>
              <w:t>actualiser_excel.py</w:t>
            </w:r>
          </w:p>
        </w:tc>
        <w:tc>
          <w:tcPr>
            <w:tcW w:type="dxa" w:w="6605"/>
            <w:vAlign w:val="center"/>
            <w:tcMar>
              <w:top w:w="85" w:type="dxa"/>
              <w:bottom w:w="85" w:type="dxa"/>
              <w:left w:w="110" w:type="dxa"/>
              <w:right w:w="110" w:type="dxa"/>
            </w:tcMar>
          </w:tcPr>
          <w:p>
            <w:pPr>
              <w:pStyle w:val="TableNormal"/>
            </w:pPr>
            <w:r>
              <w:t>Séquence mensuelle et rapport d’exécution.</w:t>
            </w:r>
          </w:p>
        </w:tc>
      </w:tr>
      <w:tr>
        <w:trPr>
          <w:cantSplit/>
        </w:trPr>
        <w:tc>
          <w:tcPr>
            <w:tcW w:type="dxa" w:w="2976"/>
            <w:vAlign w:val="center"/>
            <w:tcMar>
              <w:top w:w="85" w:type="dxa"/>
              <w:bottom w:w="85" w:type="dxa"/>
              <w:left w:w="110" w:type="dxa"/>
              <w:right w:w="110" w:type="dxa"/>
            </w:tcMar>
            <w:shd w:fill="F3F7F9"/>
          </w:tcPr>
          <w:p>
            <w:pPr>
              <w:pStyle w:val="TableNormal"/>
            </w:pPr>
            <w:r>
              <w:rPr>
                <w:b/>
              </w:rPr>
              <w:t>research/</w:t>
            </w:r>
          </w:p>
        </w:tc>
        <w:tc>
          <w:tcPr>
            <w:tcW w:type="dxa" w:w="6605"/>
            <w:vAlign w:val="center"/>
            <w:tcMar>
              <w:top w:w="85" w:type="dxa"/>
              <w:bottom w:w="85" w:type="dxa"/>
              <w:left w:w="110" w:type="dxa"/>
              <w:right w:w="110" w:type="dxa"/>
            </w:tcMar>
            <w:shd w:fill="F3F7F9"/>
          </w:tcPr>
          <w:p>
            <w:pPr>
              <w:pStyle w:val="TableNormal"/>
            </w:pPr>
            <w:r>
              <w:t>Recherche sur les signaux et backtests exploratoires.</w:t>
            </w:r>
          </w:p>
        </w:tc>
      </w:tr>
    </w:tbl>
    <w:p>
      <w:pPr>
        <w:spacing w:after="0"/>
      </w:pPr>
    </w:p>
    <w:p>
      <w:r>
        <w:t>Les colonnes Excel, les paramètres et les fonctions sont indiqués dans le code.</w:t>
      </w:r>
    </w:p>
    <w:p>
      <w:r>
        <w:rPr>
          <w:i/>
        </w:rPr>
        <w:t>Les annexes expliquent les étapes Python et les calculs.</w:t>
      </w:r>
    </w:p>
    <w:p>
      <w:r>
        <w:br w:type="page"/>
      </w:r>
    </w:p>
    <w:p>
      <w:pPr>
        <w:pStyle w:val="Heading1"/>
        <w:keepNext/>
      </w:pPr>
      <w:r>
        <w:t>ANNEXE A — Les étapes du programme</w:t>
      </w:r>
    </w:p>
    <w:p>
      <w:r>
        <w:t>Le même calcul sert aux trois modes : production, rebuild et replay. Le schéma montre les étapes de la production mensuelle.</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1  actualiser_excel.py / main()</w:t>
            </w:r>
          </w:p>
          <w:p>
            <w:pPr>
              <w:pStyle w:val="TableNormal"/>
              <w:jc w:val="center"/>
            </w:pPr>
            <w:r>
              <w:rPr>
                <w:sz w:val="17"/>
              </w:rPr>
              <w:t>Sauvegarder les entrées puis créer SectorModel("EU") et SectorModel("US")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2  model_secto.SectorModel.run_production()</w:t>
            </w:r>
          </w:p>
          <w:p>
            <w:pPr>
              <w:pStyle w:val="TableNormal"/>
              <w:jc w:val="center"/>
            </w:pPr>
            <w:r>
              <w:rPr>
                <w:sz w:val="17"/>
              </w:rPr>
              <w:t>open_workbooks() → load_history() → run_model() → save_history()</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3  model_secto.run_model()</w:t>
            </w:r>
          </w:p>
          <w:p>
            <w:pPr>
              <w:pStyle w:val="TableNormal"/>
              <w:jc w:val="center"/>
            </w:pPr>
            <w:r>
              <w:rPr>
                <w:sz w:val="17"/>
              </w:rPr>
              <w:t>Piliers fondamentaux, Momentum, Volatility, benchmark, macro, rangs et votes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4  model_secto.save_production() + excel_output.save_excel()</w:t>
            </w:r>
          </w:p>
          <w:p>
            <w:pPr>
              <w:pStyle w:val="TableNormal"/>
              <w:jc w:val="center"/>
            </w:pPr>
            <w:r>
              <w:rPr>
                <w:sz w:val="17"/>
              </w:rPr>
              <w:t>Exports Excel et grilles Output par marché dans output/</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5  excel_output.update_workbooks()</w:t>
            </w:r>
          </w:p>
          <w:p>
            <w:pPr>
              <w:pStyle w:val="TableNormal"/>
              <w:jc w:val="center"/>
            </w:pPr>
            <w:r>
              <w:rPr>
                <w:sz w:val="17"/>
              </w:rPr>
              <w:t>Copies temporaires des XLSX → fill_workbook() → Output, Reco_histo, Dashboard</w:t>
            </w:r>
          </w:p>
        </w:tc>
      </w:tr>
    </w:tbl>
    <w:p>
      <w:pPr>
        <w:pStyle w:val="Heading2"/>
        <w:keepNext/>
      </w:pPr>
      <w:r>
        <w:t>A1. Rôle des fichiers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729"/>
            <w:shd w:fill="183049"/>
            <w:tcMar>
              <w:top w:w="85" w:type="dxa"/>
              <w:bottom w:w="85" w:type="dxa"/>
              <w:left w:w="90" w:type="dxa"/>
              <w:right w:w="90" w:type="dxa"/>
            </w:tcMar>
          </w:tcPr>
          <w:p>
            <w:pPr>
              <w:pStyle w:val="TableNormal"/>
            </w:pPr>
            <w:r>
              <w:rPr>
                <w:b/>
                <w:color w:val="FFFFFF"/>
                <w:sz w:val="16"/>
              </w:rPr>
              <w:t>Module</w:t>
            </w:r>
          </w:p>
        </w:tc>
        <w:tc>
          <w:tcPr>
            <w:tcW w:type="dxa" w:w="5386"/>
            <w:shd w:fill="183049"/>
            <w:tcMar>
              <w:top w:w="85" w:type="dxa"/>
              <w:bottom w:w="85" w:type="dxa"/>
              <w:left w:w="90" w:type="dxa"/>
              <w:right w:w="90" w:type="dxa"/>
            </w:tcMar>
          </w:tcPr>
          <w:p>
            <w:pPr>
              <w:pStyle w:val="TableNormal"/>
            </w:pPr>
            <w:r>
              <w:rPr>
                <w:b/>
                <w:color w:val="FFFFFF"/>
                <w:sz w:val="16"/>
              </w:rPr>
              <w:t>Fonctions principales</w:t>
            </w:r>
          </w:p>
        </w:tc>
        <w:tc>
          <w:tcPr>
            <w:tcW w:type="dxa" w:w="2466"/>
            <w:shd w:fill="183049"/>
            <w:tcMar>
              <w:top w:w="85" w:type="dxa"/>
              <w:bottom w:w="85" w:type="dxa"/>
              <w:left w:w="90" w:type="dxa"/>
              <w:right w:w="90" w:type="dxa"/>
            </w:tcMar>
          </w:tcPr>
          <w:p>
            <w:pPr>
              <w:pStyle w:val="TableNormal"/>
            </w:pPr>
            <w:r>
              <w:rPr>
                <w:b/>
                <w:color w:val="FFFFFF"/>
                <w:sz w:val="16"/>
              </w:rPr>
              <w:t>Résultat</w:t>
            </w:r>
          </w:p>
        </w:tc>
      </w:tr>
      <w:tr>
        <w:trPr>
          <w:cantSplit/>
        </w:trPr>
        <w:tc>
          <w:tcPr>
            <w:tcW w:type="dxa" w:w="1729"/>
            <w:tcMar>
              <w:top w:w="77" w:type="dxa"/>
              <w:bottom w:w="77" w:type="dxa"/>
              <w:left w:w="90" w:type="dxa"/>
              <w:right w:w="90" w:type="dxa"/>
            </w:tcMar>
            <w:vAlign w:val="center"/>
          </w:tcPr>
          <w:p>
            <w:pPr>
              <w:pStyle w:val="TableNormal"/>
            </w:pPr>
            <w:r>
              <w:rPr>
                <w:b/>
                <w:sz w:val="16"/>
              </w:rPr>
              <w:t>local_config.py</w:t>
            </w:r>
          </w:p>
        </w:tc>
        <w:tc>
          <w:tcPr>
            <w:tcW w:type="dxa" w:w="5386"/>
            <w:tcMar>
              <w:top w:w="77" w:type="dxa"/>
              <w:bottom w:w="77" w:type="dxa"/>
              <w:left w:w="90" w:type="dxa"/>
              <w:right w:w="90" w:type="dxa"/>
            </w:tcMar>
            <w:vAlign w:val="center"/>
          </w:tcPr>
          <w:p>
            <w:pPr>
              <w:pStyle w:val="TableNormal"/>
            </w:pPr>
            <w:r>
              <w:rPr>
                <w:sz w:val="16"/>
              </w:rPr>
              <w:t>EU_CONFIG, US_CONFIG, variables, régimes, secteurs</w:t>
            </w:r>
          </w:p>
        </w:tc>
        <w:tc>
          <w:tcPr>
            <w:tcW w:type="dxa" w:w="2466"/>
            <w:tcMar>
              <w:top w:w="77" w:type="dxa"/>
              <w:bottom w:w="77" w:type="dxa"/>
              <w:left w:w="90" w:type="dxa"/>
              <w:right w:w="90" w:type="dxa"/>
            </w:tcMar>
            <w:vAlign w:val="center"/>
          </w:tcPr>
          <w:p>
            <w:pPr>
              <w:pStyle w:val="TableNormal"/>
            </w:pPr>
            <w:r>
              <w:rPr>
                <w:sz w:val="16"/>
              </w:rPr>
              <w:t>Paramètres des deux marchés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data_utils.py</w:t>
            </w:r>
          </w:p>
        </w:tc>
        <w:tc>
          <w:tcPr>
            <w:tcW w:type="dxa" w:w="5386"/>
            <w:tcMar>
              <w:top w:w="77" w:type="dxa"/>
              <w:bottom w:w="77" w:type="dxa"/>
              <w:left w:w="90" w:type="dxa"/>
              <w:right w:w="90" w:type="dxa"/>
            </w:tcMar>
            <w:vAlign w:val="center"/>
            <w:shd w:fill="F4F8FA"/>
          </w:tcPr>
          <w:p>
            <w:pPr>
              <w:pStyle w:val="TableNormal"/>
            </w:pPr>
            <w:r>
              <w:rPr>
                <w:sz w:val="16"/>
              </w:rPr>
              <w:t>open_workbooks, read_sector_block, freeze_history, read_benchmark_returns, read_macro_data, save_history</w:t>
            </w:r>
          </w:p>
        </w:tc>
        <w:tc>
          <w:tcPr>
            <w:tcW w:type="dxa" w:w="2466"/>
            <w:tcMar>
              <w:top w:w="77" w:type="dxa"/>
              <w:bottom w:w="77" w:type="dxa"/>
              <w:left w:w="90" w:type="dxa"/>
              <w:right w:w="90" w:type="dxa"/>
            </w:tcMar>
            <w:vAlign w:val="center"/>
            <w:shd w:fill="F4F8FA"/>
          </w:tcPr>
          <w:p>
            <w:pPr>
              <w:pStyle w:val="TableNormal"/>
            </w:pPr>
            <w:r>
              <w:rPr>
                <w:sz w:val="16"/>
              </w:rPr>
              <w:t>Lecture, dates et historique mensuel</w:t>
            </w:r>
          </w:p>
        </w:tc>
      </w:tr>
      <w:tr>
        <w:trPr>
          <w:cantSplit/>
        </w:trPr>
        <w:tc>
          <w:tcPr>
            <w:tcW w:type="dxa" w:w="1729"/>
            <w:tcMar>
              <w:top w:w="77" w:type="dxa"/>
              <w:bottom w:w="77" w:type="dxa"/>
              <w:left w:w="90" w:type="dxa"/>
              <w:right w:w="90" w:type="dxa"/>
            </w:tcMar>
            <w:vAlign w:val="center"/>
          </w:tcPr>
          <w:p>
            <w:pPr>
              <w:pStyle w:val="TableNormal"/>
            </w:pPr>
            <w:r>
              <w:rPr>
                <w:b/>
                <w:sz w:val="16"/>
              </w:rPr>
              <w:t>model_secto.py</w:t>
            </w:r>
          </w:p>
        </w:tc>
        <w:tc>
          <w:tcPr>
            <w:tcW w:type="dxa" w:w="5386"/>
            <w:tcMar>
              <w:top w:w="77" w:type="dxa"/>
              <w:bottom w:w="77" w:type="dxa"/>
              <w:left w:w="90" w:type="dxa"/>
              <w:right w:w="90" w:type="dxa"/>
            </w:tcMar>
            <w:vAlign w:val="center"/>
          </w:tcPr>
          <w:p>
            <w:pPr>
              <w:pStyle w:val="TableNormal"/>
            </w:pPr>
            <w:r>
              <w:rPr>
                <w:sz w:val="16"/>
              </w:rPr>
              <w:t>run_model, compute_historical_pillars, compute_momentum, compute_volatility, build_macro_context, compute_final_results</w:t>
            </w:r>
          </w:p>
        </w:tc>
        <w:tc>
          <w:tcPr>
            <w:tcW w:type="dxa" w:w="2466"/>
            <w:tcMar>
              <w:top w:w="77" w:type="dxa"/>
              <w:bottom w:w="77" w:type="dxa"/>
              <w:left w:w="90" w:type="dxa"/>
              <w:right w:w="90" w:type="dxa"/>
            </w:tcMar>
            <w:vAlign w:val="center"/>
          </w:tcPr>
          <w:p>
            <w:pPr>
              <w:pStyle w:val="TableNormal"/>
            </w:pPr>
            <w:r>
              <w:rPr>
                <w:sz w:val="16"/>
              </w:rPr>
              <w:t>Scores, rangs, contexte et recommandations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excel_output.py</w:t>
            </w:r>
          </w:p>
        </w:tc>
        <w:tc>
          <w:tcPr>
            <w:tcW w:type="dxa" w:w="5386"/>
            <w:tcMar>
              <w:top w:w="77" w:type="dxa"/>
              <w:bottom w:w="77" w:type="dxa"/>
              <w:left w:w="90" w:type="dxa"/>
              <w:right w:w="90" w:type="dxa"/>
            </w:tcMar>
            <w:vAlign w:val="center"/>
            <w:shd w:fill="F4F8FA"/>
          </w:tcPr>
          <w:p>
            <w:pPr>
              <w:pStyle w:val="TableNormal"/>
            </w:pPr>
            <w:r>
              <w:rPr>
                <w:sz w:val="16"/>
              </w:rPr>
              <w:t>compute_portfolio, build_output, fill_workbook, update_workbooks</w:t>
            </w:r>
          </w:p>
        </w:tc>
        <w:tc>
          <w:tcPr>
            <w:tcW w:type="dxa" w:w="2466"/>
            <w:tcMar>
              <w:top w:w="77" w:type="dxa"/>
              <w:bottom w:w="77" w:type="dxa"/>
              <w:left w:w="90" w:type="dxa"/>
              <w:right w:w="90" w:type="dxa"/>
            </w:tcMar>
            <w:vAlign w:val="center"/>
            <w:shd w:fill="F4F8FA"/>
          </w:tcPr>
          <w:p>
            <w:pPr>
              <w:pStyle w:val="TableNormal"/>
            </w:pPr>
            <w:r>
              <w:rPr>
                <w:sz w:val="16"/>
              </w:rPr>
              <w:t>Valeurs Output, résultats et graphiques</w:t>
            </w:r>
          </w:p>
        </w:tc>
      </w:tr>
      <w:tr>
        <w:trPr>
          <w:cantSplit/>
        </w:trPr>
        <w:tc>
          <w:tcPr>
            <w:tcW w:type="dxa" w:w="1729"/>
            <w:tcMar>
              <w:top w:w="77" w:type="dxa"/>
              <w:bottom w:w="77" w:type="dxa"/>
              <w:left w:w="90" w:type="dxa"/>
              <w:right w:w="90" w:type="dxa"/>
            </w:tcMar>
            <w:vAlign w:val="center"/>
          </w:tcPr>
          <w:p>
            <w:pPr>
              <w:pStyle w:val="TableNormal"/>
            </w:pPr>
            <w:r>
              <w:rPr>
                <w:b/>
                <w:sz w:val="16"/>
              </w:rPr>
              <w:t>actualiser_excel.py</w:t>
            </w:r>
          </w:p>
        </w:tc>
        <w:tc>
          <w:tcPr>
            <w:tcW w:type="dxa" w:w="5386"/>
            <w:tcMar>
              <w:top w:w="77" w:type="dxa"/>
              <w:bottom w:w="77" w:type="dxa"/>
              <w:left w:w="90" w:type="dxa"/>
              <w:right w:w="90" w:type="dxa"/>
            </w:tcMar>
            <w:vAlign w:val="center"/>
          </w:tcPr>
          <w:p>
            <w:pPr>
              <w:pStyle w:val="TableNormal"/>
            </w:pPr>
            <w:r>
              <w:rPr>
                <w:sz w:val="16"/>
              </w:rPr>
              <w:t>backup_inputs, model_summary, main</w:t>
            </w:r>
          </w:p>
        </w:tc>
        <w:tc>
          <w:tcPr>
            <w:tcW w:type="dxa" w:w="2466"/>
            <w:tcMar>
              <w:top w:w="77" w:type="dxa"/>
              <w:bottom w:w="77" w:type="dxa"/>
              <w:left w:w="90" w:type="dxa"/>
              <w:right w:w="90" w:type="dxa"/>
            </w:tcMar>
            <w:vAlign w:val="center"/>
          </w:tcPr>
          <w:p>
            <w:pPr>
              <w:pStyle w:val="TableNormal"/>
            </w:pPr>
            <w:r>
              <w:rPr>
                <w:sz w:val="16"/>
              </w:rPr>
              <w:t>Orchestration des deux marchés et bilan</w:t>
            </w:r>
          </w:p>
        </w:tc>
      </w:tr>
    </w:tbl>
    <w:p>
      <w:pPr>
        <w:spacing w:after="20"/>
      </w:pPr>
    </w:p>
    <w:p>
      <w:pPr>
        <w:pStyle w:val="Heading2"/>
        <w:keepNext/>
      </w:pPr>
      <w:r>
        <w:t>A2. Comment les fichiers travaillent ensemble</w:t>
      </w:r>
    </w:p>
    <w:p>
      <w:r>
        <w:t>Les deux fichiers Score_Sectoriel_*.xlsx contiennent les données sectorielles. maj cycle macro2.xlsx contient les signaux macro. data_utils.py lit ces données, model_secto.py calcule les scores et excel_output.py met à jour les classeurs.</w:t>
      </w:r>
    </w:p>
    <w:p>
      <w:r>
        <w:t>Par défaut, actualiser_excel.py utilise le mode production : il complète data_history.xlsx et met à jour Output, Reco_histo et Dashboard. rebuild crée un nouvel historique depuis les Excel. replay recalcule depuis un historique enregistré, sans lire les classeurs sectoriels ou macro. Les deux modes se règlent à la fin du script et ne modifient pas les modèles.</w:t>
      </w:r>
    </w:p>
    <w:p>
      <w:r>
        <w:t>Après les calculs EU et US, le programme met aussi à jour reco_secto_facto.xlsx. L'onglet Mapping montre la répartition vers les 19 supersecteurs. Les modèles ne contiennent plus de macros : les données FactSet et Bloomberg doivent être actualisées directement dans Excel avant le calcul.</w:t>
      </w:r>
    </w:p>
    <w:p>
      <w:r>
        <w:br w:type="page"/>
      </w:r>
    </w:p>
    <w:p>
      <w:pPr>
        <w:pStyle w:val="Heading1"/>
        <w:keepNext/>
      </w:pPr>
      <w:r>
        <w:t>ANNEXE B — Détail du calcul des scores</w:t>
      </w:r>
    </w:p>
    <w:p>
      <w:pPr>
        <w:pStyle w:val="Heading2"/>
        <w:keepNext/>
      </w:pPr>
      <w:r>
        <w:t>B1. Variables, sens et transformations</w:t>
      </w:r>
    </w:p>
    <w:p>
      <w:r>
        <w:t>H compare l'écart d'un secteur avec son propre historique. X compare les valeurs brutes des secteurs au même mois. « Favorable bas » signifie qu'une valeur plus faible est meilleure ; « favorable haut » signifie l'inverse.</w:t>
      </w:r>
    </w:p>
    <w:tbl>
      <w:tblPr>
        <w:tblStyle w:val="TableGrid"/>
        <w:tblW w:type="auto" w:w="0"/>
        <w:jc w:val="center"/>
        <w:tblLayout w:type="fixed"/>
        <w:tblLook w:firstColumn="1" w:firstRow="1" w:lastColumn="0" w:lastRow="0" w:noHBand="0" w:noVBand="1" w:val="04A0"/>
      </w:tblPr>
      <w:tblGrid>
        <w:gridCol w:w="1916"/>
        <w:gridCol w:w="1916"/>
        <w:gridCol w:w="1916"/>
        <w:gridCol w:w="1916"/>
        <w:gridCol w:w="1916"/>
      </w:tblGrid>
      <w:tr>
        <w:trPr>
          <w:tblHeader/>
          <w:cantSplit/>
        </w:trPr>
        <w:tc>
          <w:tcPr>
            <w:tcW w:type="dxa" w:w="1389"/>
            <w:shd w:fill="183049"/>
            <w:tcMar>
              <w:top w:w="85" w:type="dxa"/>
              <w:bottom w:w="85" w:type="dxa"/>
              <w:left w:w="90" w:type="dxa"/>
              <w:right w:w="90" w:type="dxa"/>
            </w:tcMar>
          </w:tcPr>
          <w:p>
            <w:pPr>
              <w:pStyle w:val="TableNormal"/>
            </w:pPr>
            <w:r>
              <w:rPr>
                <w:b/>
                <w:color w:val="FFFFFF"/>
                <w:sz w:val="16"/>
              </w:rPr>
              <w:t>Pilier</w:t>
            </w:r>
          </w:p>
        </w:tc>
        <w:tc>
          <w:tcPr>
            <w:tcW w:type="dxa" w:w="3798"/>
            <w:shd w:fill="183049"/>
            <w:tcMar>
              <w:top w:w="85" w:type="dxa"/>
              <w:bottom w:w="85" w:type="dxa"/>
              <w:left w:w="90" w:type="dxa"/>
              <w:right w:w="90" w:type="dxa"/>
            </w:tcMar>
          </w:tcPr>
          <w:p>
            <w:pPr>
              <w:pStyle w:val="TableNormal"/>
            </w:pPr>
            <w:r>
              <w:rPr>
                <w:b/>
                <w:color w:val="FFFFFF"/>
                <w:sz w:val="16"/>
              </w:rPr>
              <w:t>Variable</w:t>
            </w:r>
          </w:p>
        </w:tc>
        <w:tc>
          <w:tcPr>
            <w:tcW w:type="dxa" w:w="794"/>
            <w:shd w:fill="183049"/>
            <w:tcMar>
              <w:top w:w="85" w:type="dxa"/>
              <w:bottom w:w="85" w:type="dxa"/>
              <w:left w:w="90" w:type="dxa"/>
              <w:right w:w="90" w:type="dxa"/>
            </w:tcMar>
          </w:tcPr>
          <w:p>
            <w:pPr>
              <w:pStyle w:val="TableNormal"/>
            </w:pPr>
            <w:r>
              <w:rPr>
                <w:b/>
                <w:color w:val="FFFFFF"/>
                <w:sz w:val="16"/>
              </w:rPr>
              <w:t>Sens</w:t>
            </w:r>
          </w:p>
        </w:tc>
        <w:tc>
          <w:tcPr>
            <w:tcW w:type="dxa" w:w="1757"/>
            <w:shd w:fill="183049"/>
            <w:tcMar>
              <w:top w:w="85" w:type="dxa"/>
              <w:bottom w:w="85" w:type="dxa"/>
              <w:left w:w="90" w:type="dxa"/>
              <w:right w:w="90" w:type="dxa"/>
            </w:tcMar>
          </w:tcPr>
          <w:p>
            <w:pPr>
              <w:pStyle w:val="TableNormal"/>
            </w:pPr>
            <w:r>
              <w:rPr>
                <w:b/>
                <w:color w:val="FFFFFF"/>
                <w:sz w:val="16"/>
              </w:rPr>
              <w:t>EU</w:t>
            </w:r>
          </w:p>
        </w:tc>
        <w:tc>
          <w:tcPr>
            <w:tcW w:type="dxa" w:w="1843"/>
            <w:shd w:fill="183049"/>
            <w:tcMar>
              <w:top w:w="85" w:type="dxa"/>
              <w:bottom w:w="85" w:type="dxa"/>
              <w:left w:w="90" w:type="dxa"/>
              <w:right w:w="90" w:type="dxa"/>
            </w:tcMar>
          </w:tcPr>
          <w:p>
            <w:pPr>
              <w:pStyle w:val="TableNormal"/>
            </w:pPr>
            <w:r>
              <w:rPr>
                <w:b/>
                <w:color w:val="FFFFFF"/>
                <w:sz w:val="16"/>
              </w:rPr>
              <w:t>US</w:t>
            </w:r>
          </w:p>
        </w:tc>
      </w:tr>
      <w:tr>
        <w:trPr>
          <w:cantSplit/>
        </w:trPr>
        <w:tc>
          <w:tcPr>
            <w:tcW w:type="dxa" w:w="1389"/>
            <w:tcMar>
              <w:top w:w="77" w:type="dxa"/>
              <w:bottom w:w="77" w:type="dxa"/>
              <w:left w:w="90" w:type="dxa"/>
              <w:right w:w="90" w:type="dxa"/>
            </w:tcMar>
            <w:vAlign w:val="center"/>
          </w:tcPr>
          <w:p>
            <w:pPr>
              <w:pStyle w:val="TableNormal"/>
            </w:pPr>
            <w:r>
              <w:rPr>
                <w:b/>
                <w:sz w:val="16"/>
              </w:rPr>
              <w:t>Leverage</w:t>
            </w:r>
          </w:p>
        </w:tc>
        <w:tc>
          <w:tcPr>
            <w:tcW w:type="dxa" w:w="3798"/>
            <w:tcMar>
              <w:top w:w="77" w:type="dxa"/>
              <w:bottom w:w="77" w:type="dxa"/>
              <w:left w:w="90" w:type="dxa"/>
              <w:right w:w="90" w:type="dxa"/>
            </w:tcMar>
            <w:vAlign w:val="center"/>
          </w:tcPr>
          <w:p>
            <w:pPr>
              <w:pStyle w:val="TableNormal"/>
            </w:pPr>
            <w:r>
              <w:rPr>
                <w:sz w:val="16"/>
              </w:rPr>
              <w:t>net_debt_ebitda</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H+X</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fcf_total_debt</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r>
          </w:p>
        </w:tc>
        <w:tc>
          <w:tcPr>
            <w:tcW w:type="dxa" w:w="3798"/>
            <w:tcMar>
              <w:top w:w="77" w:type="dxa"/>
              <w:bottom w:w="77" w:type="dxa"/>
              <w:left w:w="90" w:type="dxa"/>
              <w:right w:w="90" w:type="dxa"/>
            </w:tcMar>
            <w:vAlign w:val="center"/>
          </w:tcPr>
          <w:p>
            <w:pPr>
              <w:pStyle w:val="TableNormal"/>
            </w:pPr>
            <w:r>
              <w:rPr>
                <w:sz w:val="16"/>
              </w:rPr>
              <w:t>debt_equity</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Margin</w:t>
            </w:r>
          </w:p>
        </w:tc>
        <w:tc>
          <w:tcPr>
            <w:tcW w:type="dxa" w:w="3798"/>
            <w:tcMar>
              <w:top w:w="77" w:type="dxa"/>
              <w:bottom w:w="77" w:type="dxa"/>
              <w:left w:w="90" w:type="dxa"/>
              <w:right w:w="90" w:type="dxa"/>
            </w:tcMar>
            <w:vAlign w:val="center"/>
            <w:shd w:fill="F4F8FA"/>
          </w:tcPr>
          <w:p>
            <w:pPr>
              <w:pStyle w:val="TableNormal"/>
            </w:pPr>
            <w:r>
              <w:rPr>
                <w:sz w:val="16"/>
              </w:rPr>
              <w:t>operating_margin, net_margin, ebitda_margin</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H+X</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t>Value</w:t>
            </w:r>
          </w:p>
        </w:tc>
        <w:tc>
          <w:tcPr>
            <w:tcW w:type="dxa" w:w="3798"/>
            <w:tcMar>
              <w:top w:w="77" w:type="dxa"/>
              <w:bottom w:w="77" w:type="dxa"/>
              <w:left w:w="90" w:type="dxa"/>
              <w:right w:w="90" w:type="dxa"/>
            </w:tcMar>
            <w:vAlign w:val="center"/>
          </w:tcPr>
          <w:p>
            <w:pPr>
              <w:pStyle w:val="TableNormal"/>
            </w:pPr>
            <w:r>
              <w:rPr>
                <w:sz w:val="16"/>
              </w:rPr>
              <w:t>pe</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price_fcf, ev_ebitda, price_sales</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Growth</w:t>
            </w:r>
          </w:p>
        </w:tc>
        <w:tc>
          <w:tcPr>
            <w:tcW w:type="dxa" w:w="3798"/>
            <w:tcMar>
              <w:top w:w="77" w:type="dxa"/>
              <w:bottom w:w="77" w:type="dxa"/>
              <w:left w:w="90" w:type="dxa"/>
              <w:right w:w="90" w:type="dxa"/>
            </w:tcMar>
            <w:vAlign w:val="center"/>
          </w:tcPr>
          <w:p>
            <w:pPr>
              <w:pStyle w:val="TableNormal"/>
            </w:pPr>
            <w:r>
              <w:rPr>
                <w:sz w:val="16"/>
              </w:rPr>
              <w:t>eps_growth, sales_growth, ebitda_growth</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cash_flow_growth</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Momentum</w:t>
            </w:r>
          </w:p>
        </w:tc>
        <w:tc>
          <w:tcPr>
            <w:tcW w:type="dxa" w:w="3798"/>
            <w:tcMar>
              <w:top w:w="77" w:type="dxa"/>
              <w:bottom w:w="77" w:type="dxa"/>
              <w:left w:w="90" w:type="dxa"/>
              <w:right w:w="90" w:type="dxa"/>
            </w:tcMar>
            <w:vAlign w:val="center"/>
          </w:tcPr>
          <w:p>
            <w:pPr>
              <w:pStyle w:val="TableNormal"/>
            </w:pPr>
            <w:r>
              <w:rPr>
                <w:sz w:val="16"/>
              </w:rPr>
              <w:t>2 variations de prix ; 1 ratio de révisions</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rang /13 × 10</w:t>
            </w:r>
          </w:p>
        </w:tc>
        <w:tc>
          <w:tcPr>
            <w:tcW w:type="dxa" w:w="1843"/>
            <w:tcMar>
              <w:top w:w="77" w:type="dxa"/>
              <w:bottom w:w="77" w:type="dxa"/>
              <w:left w:w="90" w:type="dxa"/>
              <w:right w:w="90" w:type="dxa"/>
            </w:tcMar>
            <w:vAlign w:val="center"/>
          </w:tcPr>
          <w:p>
            <w:pPr>
              <w:pStyle w:val="TableNormal"/>
            </w:pPr>
            <w:r>
              <w:rPr>
                <w:sz w:val="16"/>
              </w:rPr>
              <w:t>rang brut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Volatility</w:t>
            </w:r>
          </w:p>
        </w:tc>
        <w:tc>
          <w:tcPr>
            <w:tcW w:type="dxa" w:w="3798"/>
            <w:tcMar>
              <w:top w:w="77" w:type="dxa"/>
              <w:bottom w:w="77" w:type="dxa"/>
              <w:left w:w="90" w:type="dxa"/>
              <w:right w:w="90" w:type="dxa"/>
            </w:tcMar>
            <w:vAlign w:val="center"/>
            <w:shd w:fill="F4F8FA"/>
          </w:tcPr>
          <w:p>
            <w:pPr>
              <w:pStyle w:val="TableNormal"/>
            </w:pPr>
            <w:r>
              <w:rPr>
                <w:sz w:val="16"/>
              </w:rPr>
              <w:t>volatility_6m ; downside_volatility_18m</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bl>
    <w:p>
      <w:pPr>
        <w:spacing w:after="20"/>
      </w:pPr>
    </w:p>
    <w:p>
      <w:pPr>
        <w:pStyle w:val="Heading2"/>
        <w:keepNext/>
      </w:pPr>
      <w:r>
        <w:t>B2. Calcul des scores</w:t>
      </w:r>
    </w:p>
    <w:p>
      <w:r>
        <w:t>x(s,t) est la valeur du secteur s au mois t. d(s,t) est son écart à la moyenne des secteurs du même mois. Pour certaines variables de Value et Growth, Fin n'entre pas dans le calcul de la moyenne, mais peut quand même recevoir un score.</w:t>
      </w:r>
    </w:p>
    <w:p>
      <w:r>
        <w:t>H = 10 × rang de d(s,t) / taille de la fenêtre. La fenêtre compte 61 mois, dont le mois courant. Pour price_fcf et ev_ebitda de Tech, elle compte 37 mois. Les valeurs manquantes ne sont pas classées, mais le diviseur reste 61 ou 37. En cas d'égalité, le programme utilise le rang minimum.</w:t>
      </w:r>
    </w:p>
    <w:p>
      <w:r>
        <w:t>X = 10 × rang de x(s,t) / nombre de secteurs : 13 en EU et 12 en US. Pour les variables qui utilisent H et X, le score est (H + X) / 2.</w:t>
      </w:r>
    </w:p>
    <w:p>
      <w:r>
        <w:t>Le score d'un pilier est la moyenne des scores des variables prévues pour ce secteur. Les variables nécessaires doivent être disponibles. Fin et Tech ont des compositions particulières. Pour Growth US, le calcul utilise normalement cash_flow_growth et ebitda_growth, et eps_growth et sales_growth pour Fin.</w:t>
      </w:r>
    </w:p>
    <w:p>
      <w:pPr>
        <w:pStyle w:val="Heading2"/>
        <w:keepNext/>
      </w:pPr>
      <w:r>
        <w:t>B3. Momentum et Volatility</w:t>
      </w:r>
    </w:p>
    <w:p>
      <w:r>
        <w:t>Momentum est la moyenne des rangs de deux variations de prix (6 et 12 mois) et d'un ratio de révisions : (hausses − baisses) / (hausses + baisses + stables). Les prix excluent normalement le mois en cours ; Tech l'inclut.</w:t>
      </w:r>
    </w:p>
    <w:p>
      <w:r>
        <w:t>Volatility est la moyenne de deux scores historiques : la volatilité totale sur 7 rendements et la volatilité des rendements négatifs sur 19 mois. Les écarts-types sont annualisés avec √12.</w:t>
      </w:r>
    </w:p>
    <w:p>
      <w:pPr>
        <w:pStyle w:val="Heading2"/>
        <w:keepNext/>
      </w:pPr>
      <w:r>
        <w:t>B4. Score macro et taux</w:t>
      </w:r>
    </w:p>
    <w:p>
      <w:r>
        <w:t>En EU, le score U combine quatre indicateurs ; le premier est décalé d'un mois. Le cycle est en AB. En US, le score Q combine quatre indicateurs avec les poids 30/30/30/10 et le cycle est en U. Les cycles sont C, R, E ou SD.</w:t>
      </w:r>
    </w:p>
    <w:p>
      <w:r>
        <w:t>Le signal passe à On si l'écart entre le taux US à 10 ans et sa moyenne mobile exponentielle (0,715) dépasse le 85ᵉ percentile de son historique. Il ajoute alors des votes pour Leverage et Value.</w:t>
      </w:r>
    </w:p>
    <w:p>
      <w:r>
        <w:br w:type="page"/>
      </w:r>
    </w:p>
    <w:p>
      <w:pPr>
        <w:pStyle w:val="Heading1"/>
        <w:keepNext/>
      </w:pPr>
      <w:r>
        <w:t>ANNEXE C — Du signal à la recommandation</w:t>
      </w:r>
    </w:p>
    <w:p>
      <w:pPr>
        <w:pStyle w:val="Heading2"/>
        <w:keepNext/>
      </w:pPr>
      <w:r>
        <w:t>C1. Classement et décisions</w:t>
      </w:r>
    </w:p>
    <w:p>
      <w:r>
        <w:t>Le programme classe les secteurs pour chaque pilier. Le score de base utilise les poids habituels. Le score de tilt utilise les poids du cycle. Le rang du tilt devient le rang Macro du score global.</w:t>
      </w:r>
    </w:p>
    <w:p>
      <w:r>
        <w:t>En EU, le score global utilise six rangs de piliers et le rang Macro, chacun avec un poids de 1/7. En US, il utilise cinq piliers et Macro, chacun avec un poids de 1/6. Margin a un poids nul en US.</w:t>
      </w:r>
    </w:p>
    <w:p>
      <w:r>
        <w:t>Un pilier de poids zéro n'empêche pas le calcul s'il manque. Si un pilier dont le poids est non nul manque, le score global est indisponible.</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2976"/>
            <w:shd w:fill="183049"/>
            <w:tcMar>
              <w:top w:w="85" w:type="dxa"/>
              <w:bottom w:w="85" w:type="dxa"/>
              <w:left w:w="90" w:type="dxa"/>
              <w:right w:w="90" w:type="dxa"/>
            </w:tcMar>
          </w:tcPr>
          <w:p>
            <w:pPr>
              <w:pStyle w:val="TableNormal"/>
            </w:pPr>
            <w:r>
              <w:rPr>
                <w:b/>
                <w:color w:val="FFFFFF"/>
                <w:sz w:val="16"/>
              </w:rPr>
              <w:t>Composante</w:t>
            </w:r>
          </w:p>
        </w:tc>
        <w:tc>
          <w:tcPr>
            <w:tcW w:type="dxa" w:w="3260"/>
            <w:shd w:fill="183049"/>
            <w:tcMar>
              <w:top w:w="85" w:type="dxa"/>
              <w:bottom w:w="85" w:type="dxa"/>
              <w:left w:w="90" w:type="dxa"/>
              <w:right w:w="90" w:type="dxa"/>
            </w:tcMar>
          </w:tcPr>
          <w:p>
            <w:pPr>
              <w:pStyle w:val="TableNormal"/>
            </w:pPr>
            <w:r>
              <w:rPr>
                <w:b/>
                <w:color w:val="FFFFFF"/>
                <w:sz w:val="16"/>
              </w:rPr>
              <w:t>EU</w:t>
            </w:r>
          </w:p>
        </w:tc>
        <w:tc>
          <w:tcPr>
            <w:tcW w:type="dxa" w:w="3345"/>
            <w:shd w:fill="183049"/>
            <w:tcMar>
              <w:top w:w="85" w:type="dxa"/>
              <w:bottom w:w="85" w:type="dxa"/>
              <w:left w:w="90" w:type="dxa"/>
              <w:right w:w="90" w:type="dxa"/>
            </w:tcMar>
          </w:tcPr>
          <w:p>
            <w:pPr>
              <w:pStyle w:val="TableNormal"/>
            </w:pPr>
            <w:r>
              <w:rPr>
                <w:b/>
                <w:color w:val="FFFFFF"/>
                <w:sz w:val="16"/>
              </w:rPr>
              <w:t>US</w:t>
            </w:r>
          </w:p>
        </w:tc>
      </w:tr>
      <w:tr>
        <w:trPr>
          <w:cantSplit/>
        </w:trPr>
        <w:tc>
          <w:tcPr>
            <w:tcW w:type="dxa" w:w="2976"/>
            <w:tcMar>
              <w:top w:w="77" w:type="dxa"/>
              <w:bottom w:w="77" w:type="dxa"/>
              <w:left w:w="90" w:type="dxa"/>
              <w:right w:w="90" w:type="dxa"/>
            </w:tcMar>
            <w:vAlign w:val="center"/>
          </w:tcPr>
          <w:p>
            <w:pPr>
              <w:pStyle w:val="TableNormal"/>
            </w:pPr>
            <w:r>
              <w:rPr>
                <w:b/>
                <w:sz w:val="16"/>
              </w:rPr>
              <w:t>Votes piliers</w:t>
            </w:r>
          </w:p>
        </w:tc>
        <w:tc>
          <w:tcPr>
            <w:tcW w:type="dxa" w:w="3260"/>
            <w:tcMar>
              <w:top w:w="77" w:type="dxa"/>
              <w:bottom w:w="77" w:type="dxa"/>
              <w:left w:w="90" w:type="dxa"/>
              <w:right w:w="90" w:type="dxa"/>
            </w:tcMar>
            <w:vAlign w:val="center"/>
          </w:tcPr>
          <w:p>
            <w:pPr>
              <w:pStyle w:val="TableNormal"/>
            </w:pPr>
            <w:r>
              <w:rPr>
                <w:sz w:val="16"/>
              </w:rPr>
              <w:t>Top/Worst sur six piliers</w:t>
            </w:r>
          </w:p>
        </w:tc>
        <w:tc>
          <w:tcPr>
            <w:tcW w:type="dxa" w:w="3345"/>
            <w:tcMar>
              <w:top w:w="77" w:type="dxa"/>
              <w:bottom w:w="77" w:type="dxa"/>
              <w:left w:w="90" w:type="dxa"/>
              <w:right w:w="90" w:type="dxa"/>
            </w:tcMar>
            <w:vAlign w:val="center"/>
          </w:tcPr>
          <w:p>
            <w:pPr>
              <w:pStyle w:val="TableNormal"/>
            </w:pPr>
            <w:r>
              <w:rPr>
                <w:sz w:val="16"/>
              </w:rPr>
              <w:t>Top sur six, Worst sur cinq (hors Margin)</w:t>
            </w:r>
          </w:p>
        </w:tc>
      </w:tr>
      <w:tr>
        <w:trPr>
          <w:cantSplit/>
        </w:trPr>
        <w:tc>
          <w:tcPr>
            <w:tcW w:type="dxa" w:w="2976"/>
            <w:tcMar>
              <w:top w:w="77" w:type="dxa"/>
              <w:bottom w:w="77" w:type="dxa"/>
              <w:left w:w="90" w:type="dxa"/>
              <w:right w:w="90" w:type="dxa"/>
            </w:tcMar>
            <w:vAlign w:val="center"/>
            <w:shd w:fill="F4F8FA"/>
          </w:tcPr>
          <w:p>
            <w:pPr>
              <w:pStyle w:val="TableNormal"/>
            </w:pPr>
            <w:r>
              <w:rPr>
                <w:b/>
                <w:sz w:val="16"/>
              </w:rPr>
              <w:t>Vote du tilt macro</w:t>
            </w:r>
          </w:p>
        </w:tc>
        <w:tc>
          <w:tcPr>
            <w:tcW w:type="dxa" w:w="3260"/>
            <w:tcMar>
              <w:top w:w="77" w:type="dxa"/>
              <w:bottom w:w="77" w:type="dxa"/>
              <w:left w:w="90" w:type="dxa"/>
              <w:right w:w="90" w:type="dxa"/>
            </w:tcMar>
            <w:vAlign w:val="center"/>
            <w:shd w:fill="F4F8FA"/>
          </w:tcPr>
          <w:p>
            <w:pPr>
              <w:pStyle w:val="TableNormal"/>
            </w:pPr>
            <w:r>
              <w:rPr>
                <w:sz w:val="16"/>
              </w:rPr>
              <w:t>+2 Top ou Worst</w:t>
            </w:r>
          </w:p>
        </w:tc>
        <w:tc>
          <w:tcPr>
            <w:tcW w:type="dxa" w:w="3345"/>
            <w:tcMar>
              <w:top w:w="77" w:type="dxa"/>
              <w:bottom w:w="77" w:type="dxa"/>
              <w:left w:w="90" w:type="dxa"/>
              <w:right w:w="90" w:type="dxa"/>
            </w:tcMar>
            <w:vAlign w:val="center"/>
            <w:shd w:fill="F4F8FA"/>
          </w:tcPr>
          <w:p>
            <w:pPr>
              <w:pStyle w:val="TableNormal"/>
            </w:pPr>
            <w:r>
              <w:rPr>
                <w:sz w:val="16"/>
              </w:rPr>
              <w:t>+1 Top ou Worst</w:t>
            </w:r>
          </w:p>
        </w:tc>
      </w:tr>
      <w:tr>
        <w:trPr>
          <w:cantSplit/>
        </w:trPr>
        <w:tc>
          <w:tcPr>
            <w:tcW w:type="dxa" w:w="2976"/>
            <w:tcMar>
              <w:top w:w="77" w:type="dxa"/>
              <w:bottom w:w="77" w:type="dxa"/>
              <w:left w:w="90" w:type="dxa"/>
              <w:right w:w="90" w:type="dxa"/>
            </w:tcMar>
            <w:vAlign w:val="center"/>
          </w:tcPr>
          <w:p>
            <w:pPr>
              <w:pStyle w:val="TableNormal"/>
            </w:pPr>
            <w:r>
              <w:rPr>
                <w:b/>
                <w:sz w:val="16"/>
              </w:rPr>
              <w:t>Signal de taux On</w:t>
            </w:r>
          </w:p>
        </w:tc>
        <w:tc>
          <w:tcPr>
            <w:tcW w:type="dxa" w:w="3260"/>
            <w:tcMar>
              <w:top w:w="77" w:type="dxa"/>
              <w:bottom w:w="77" w:type="dxa"/>
              <w:left w:w="90" w:type="dxa"/>
              <w:right w:w="90" w:type="dxa"/>
            </w:tcMar>
            <w:vAlign w:val="center"/>
          </w:tcPr>
          <w:p>
            <w:pPr>
              <w:pStyle w:val="TableNormal"/>
            </w:pPr>
            <w:r>
              <w:rPr>
                <w:sz w:val="16"/>
              </w:rPr>
              <w:t>+1 sur Leverage et Value</w:t>
            </w:r>
          </w:p>
        </w:tc>
        <w:tc>
          <w:tcPr>
            <w:tcW w:type="dxa" w:w="3345"/>
            <w:tcMar>
              <w:top w:w="77" w:type="dxa"/>
              <w:bottom w:w="77" w:type="dxa"/>
              <w:left w:w="90" w:type="dxa"/>
              <w:right w:w="90" w:type="dxa"/>
            </w:tcMar>
            <w:vAlign w:val="center"/>
          </w:tcPr>
          <w:p>
            <w:pPr>
              <w:pStyle w:val="TableNormal"/>
            </w:pPr>
            <w:r>
              <w:rPr>
                <w:sz w:val="16"/>
              </w:rPr>
              <w:t>Même règle</w:t>
            </w:r>
          </w:p>
        </w:tc>
      </w:tr>
      <w:tr>
        <w:trPr>
          <w:cantSplit/>
        </w:trPr>
        <w:tc>
          <w:tcPr>
            <w:tcW w:type="dxa" w:w="2976"/>
            <w:tcMar>
              <w:top w:w="77" w:type="dxa"/>
              <w:bottom w:w="77" w:type="dxa"/>
              <w:left w:w="90" w:type="dxa"/>
              <w:right w:w="90" w:type="dxa"/>
            </w:tcMar>
            <w:vAlign w:val="center"/>
            <w:shd w:fill="F4F8FA"/>
          </w:tcPr>
          <w:p>
            <w:pPr>
              <w:pStyle w:val="TableNormal"/>
            </w:pPr>
            <w:r>
              <w:rPr>
                <w:b/>
                <w:sz w:val="16"/>
              </w:rPr>
              <w:t>Sélection</w:t>
            </w:r>
          </w:p>
        </w:tc>
        <w:tc>
          <w:tcPr>
            <w:tcW w:type="dxa" w:w="3260"/>
            <w:tcMar>
              <w:top w:w="77" w:type="dxa"/>
              <w:bottom w:w="77" w:type="dxa"/>
              <w:left w:w="90" w:type="dxa"/>
              <w:right w:w="90" w:type="dxa"/>
            </w:tcMar>
            <w:vAlign w:val="center"/>
            <w:shd w:fill="F4F8FA"/>
          </w:tcPr>
          <w:p>
            <w:pPr>
              <w:pStyle w:val="TableNormal"/>
            </w:pPr>
            <w:r>
              <w:rPr>
                <w:sz w:val="16"/>
              </w:rPr>
              <w:t>Maximum trois Positive, trois Negative</w:t>
            </w:r>
          </w:p>
        </w:tc>
        <w:tc>
          <w:tcPr>
            <w:tcW w:type="dxa" w:w="3345"/>
            <w:tcMar>
              <w:top w:w="77" w:type="dxa"/>
              <w:bottom w:w="77" w:type="dxa"/>
              <w:left w:w="90" w:type="dxa"/>
              <w:right w:w="90" w:type="dxa"/>
            </w:tcMar>
            <w:vAlign w:val="center"/>
            <w:shd w:fill="F4F8FA"/>
          </w:tcPr>
          <w:p>
            <w:pPr>
              <w:pStyle w:val="TableNormal"/>
            </w:pPr>
            <w:r>
              <w:rPr>
                <w:sz w:val="16"/>
              </w:rPr>
              <w:t>Même règle</w:t>
            </w:r>
          </w:p>
        </w:tc>
      </w:tr>
      <w:tr>
        <w:trPr>
          <w:cantSplit/>
        </w:trPr>
        <w:tc>
          <w:tcPr>
            <w:tcW w:type="dxa" w:w="2976"/>
            <w:tcMar>
              <w:top w:w="77" w:type="dxa"/>
              <w:bottom w:w="77" w:type="dxa"/>
              <w:left w:w="90" w:type="dxa"/>
              <w:right w:w="90" w:type="dxa"/>
            </w:tcMar>
            <w:vAlign w:val="center"/>
          </w:tcPr>
          <w:p>
            <w:pPr>
              <w:pStyle w:val="TableNormal"/>
            </w:pPr>
            <w:r>
              <w:rPr>
                <w:b/>
                <w:sz w:val="16"/>
              </w:rPr>
              <w:t>Travel &amp; leisure</w:t>
            </w:r>
          </w:p>
        </w:tc>
        <w:tc>
          <w:tcPr>
            <w:tcW w:type="dxa" w:w="3260"/>
            <w:tcMar>
              <w:top w:w="77" w:type="dxa"/>
              <w:bottom w:w="77" w:type="dxa"/>
              <w:left w:w="90" w:type="dxa"/>
              <w:right w:w="90" w:type="dxa"/>
            </w:tcMar>
            <w:vAlign w:val="center"/>
          </w:tcPr>
          <w:p>
            <w:pPr>
              <w:pStyle w:val="TableNormal"/>
            </w:pPr>
            <w:r>
              <w:rPr>
                <w:sz w:val="16"/>
              </w:rPr>
              <w:t>Votes remis à zéro depuis octobre 2011</w:t>
            </w:r>
          </w:p>
        </w:tc>
        <w:tc>
          <w:tcPr>
            <w:tcW w:type="dxa" w:w="3345"/>
            <w:tcMar>
              <w:top w:w="77" w:type="dxa"/>
              <w:bottom w:w="77" w:type="dxa"/>
              <w:left w:w="90" w:type="dxa"/>
              <w:right w:w="90" w:type="dxa"/>
            </w:tcMar>
            <w:vAlign w:val="center"/>
          </w:tcPr>
          <w:p>
            <w:pPr>
              <w:pStyle w:val="TableNormal"/>
            </w:pPr>
            <w:r>
              <w:rPr>
                <w:sz w:val="16"/>
              </w:rPr>
              <w:t>Même règle</w:t>
            </w:r>
          </w:p>
        </w:tc>
      </w:tr>
    </w:tbl>
    <w:p>
      <w:pPr>
        <w:spacing w:after="20"/>
      </w:pPr>
    </w:p>
    <w:p>
      <w:r>
        <w:t>Le nombre de votes sert d'abord à choisir les secteurs. Le rang global et les autres votes départagent les égalités. Si un secteur est choisi à la fois Positive et Negative, Positive est prioritaire.</w:t>
      </w:r>
    </w:p>
    <w:p>
      <w:pPr>
        <w:pStyle w:val="Heading2"/>
        <w:keepNext/>
      </w:pPr>
      <w:r>
        <w:t>C2. Indice de référence et performances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304"/>
            <w:shd w:fill="183049"/>
            <w:tcMar>
              <w:top w:w="85" w:type="dxa"/>
              <w:bottom w:w="85" w:type="dxa"/>
              <w:left w:w="90" w:type="dxa"/>
              <w:right w:w="90" w:type="dxa"/>
            </w:tcMar>
          </w:tcPr>
          <w:p>
            <w:pPr>
              <w:pStyle w:val="TableNormal"/>
            </w:pPr>
            <w:r>
              <w:rPr>
                <w:b/>
                <w:color w:val="FFFFFF"/>
                <w:sz w:val="16"/>
              </w:rPr>
              <w:t>Marché</w:t>
            </w:r>
          </w:p>
        </w:tc>
        <w:tc>
          <w:tcPr>
            <w:tcW w:type="dxa" w:w="3940"/>
            <w:shd w:fill="183049"/>
            <w:tcMar>
              <w:top w:w="85" w:type="dxa"/>
              <w:bottom w:w="85" w:type="dxa"/>
              <w:left w:w="90" w:type="dxa"/>
              <w:right w:w="90" w:type="dxa"/>
            </w:tcMar>
          </w:tcPr>
          <w:p>
            <w:pPr>
              <w:pStyle w:val="TableNormal"/>
            </w:pPr>
            <w:r>
              <w:rPr>
                <w:b/>
                <w:color w:val="FFFFFF"/>
                <w:sz w:val="16"/>
              </w:rPr>
              <w:t>Rendements réellement lus</w:t>
            </w:r>
          </w:p>
        </w:tc>
        <w:tc>
          <w:tcPr>
            <w:tcW w:type="dxa" w:w="4337"/>
            <w:shd w:fill="183049"/>
            <w:tcMar>
              <w:top w:w="85" w:type="dxa"/>
              <w:bottom w:w="85" w:type="dxa"/>
              <w:left w:w="90" w:type="dxa"/>
              <w:right w:w="90" w:type="dxa"/>
            </w:tcMar>
          </w:tcPr>
          <w:p>
            <w:pPr>
              <w:pStyle w:val="TableNormal"/>
            </w:pPr>
            <w:r>
              <w:rPr>
                <w:b/>
                <w:color w:val="FFFFFF"/>
                <w:sz w:val="16"/>
              </w:rPr>
              <w:t>Libellé des poids dans Bench</w:t>
            </w:r>
          </w:p>
        </w:tc>
      </w:tr>
      <w:tr>
        <w:trPr>
          <w:cantSplit/>
        </w:trPr>
        <w:tc>
          <w:tcPr>
            <w:tcW w:type="dxa" w:w="1304"/>
            <w:tcMar>
              <w:top w:w="77" w:type="dxa"/>
              <w:bottom w:w="77" w:type="dxa"/>
              <w:left w:w="90" w:type="dxa"/>
              <w:right w:w="90" w:type="dxa"/>
            </w:tcMar>
            <w:vAlign w:val="center"/>
          </w:tcPr>
          <w:p>
            <w:pPr>
              <w:pStyle w:val="TableNormal"/>
            </w:pPr>
            <w:r>
              <w:rPr>
                <w:b/>
                <w:sz w:val="16"/>
              </w:rPr>
              <w:t>EU</w:t>
            </w:r>
          </w:p>
        </w:tc>
        <w:tc>
          <w:tcPr>
            <w:tcW w:type="dxa" w:w="3940"/>
            <w:tcMar>
              <w:top w:w="77" w:type="dxa"/>
              <w:bottom w:w="77" w:type="dxa"/>
              <w:left w:w="90" w:type="dxa"/>
              <w:right w:w="90" w:type="dxa"/>
            </w:tcMar>
            <w:vAlign w:val="center"/>
          </w:tcPr>
          <w:p>
            <w:pPr>
              <w:pStyle w:val="TableNormal"/>
            </w:pPr>
            <w:r>
              <w:rPr>
                <w:sz w:val="16"/>
              </w:rPr>
              <w:t>FTSE World Europe</w:t>
            </w:r>
          </w:p>
        </w:tc>
        <w:tc>
          <w:tcPr>
            <w:tcW w:type="dxa" w:w="4337"/>
            <w:tcMar>
              <w:top w:w="77" w:type="dxa"/>
              <w:bottom w:w="77" w:type="dxa"/>
              <w:left w:w="90" w:type="dxa"/>
              <w:right w:w="90" w:type="dxa"/>
            </w:tcMar>
            <w:vAlign w:val="center"/>
          </w:tcPr>
          <w:p>
            <w:pPr>
              <w:pStyle w:val="TableNormal"/>
            </w:pPr>
            <w:r>
              <w:rPr>
                <w:sz w:val="16"/>
              </w:rPr>
              <w:t>MSCI_ACWI_Europe</w:t>
            </w:r>
          </w:p>
        </w:tc>
      </w:tr>
      <w:tr>
        <w:trPr>
          <w:cantSplit/>
        </w:trPr>
        <w:tc>
          <w:tcPr>
            <w:tcW w:type="dxa" w:w="1304"/>
            <w:tcMar>
              <w:top w:w="77" w:type="dxa"/>
              <w:bottom w:w="77" w:type="dxa"/>
              <w:left w:w="90" w:type="dxa"/>
              <w:right w:w="90" w:type="dxa"/>
            </w:tcMar>
            <w:vAlign w:val="center"/>
            <w:shd w:fill="F4F8FA"/>
          </w:tcPr>
          <w:p>
            <w:pPr>
              <w:pStyle w:val="TableNormal"/>
            </w:pPr>
            <w:r>
              <w:rPr>
                <w:b/>
                <w:sz w:val="16"/>
              </w:rPr>
              <w:t>US</w:t>
            </w:r>
          </w:p>
        </w:tc>
        <w:tc>
          <w:tcPr>
            <w:tcW w:type="dxa" w:w="3940"/>
            <w:tcMar>
              <w:top w:w="77" w:type="dxa"/>
              <w:bottom w:w="77" w:type="dxa"/>
              <w:left w:w="90" w:type="dxa"/>
              <w:right w:w="90" w:type="dxa"/>
            </w:tcMar>
            <w:vAlign w:val="center"/>
            <w:shd w:fill="F4F8FA"/>
          </w:tcPr>
          <w:p>
            <w:pPr>
              <w:pStyle w:val="TableNormal"/>
            </w:pPr>
            <w:r>
              <w:rPr>
                <w:sz w:val="16"/>
              </w:rPr>
              <w:t>WIUSAU Index</w:t>
            </w:r>
          </w:p>
        </w:tc>
        <w:tc>
          <w:tcPr>
            <w:tcW w:type="dxa" w:w="4337"/>
            <w:tcMar>
              <w:top w:w="77" w:type="dxa"/>
              <w:bottom w:w="77" w:type="dxa"/>
              <w:left w:w="90" w:type="dxa"/>
              <w:right w:w="90" w:type="dxa"/>
            </w:tcMar>
            <w:vAlign w:val="center"/>
            <w:shd w:fill="F4F8FA"/>
          </w:tcPr>
          <w:p>
            <w:pPr>
              <w:pStyle w:val="TableNormal"/>
            </w:pPr>
            <w:r>
              <w:rPr>
                <w:sz w:val="16"/>
              </w:rPr>
              <w:t>SP500_bench</w:t>
            </w:r>
          </w:p>
        </w:tc>
      </w:tr>
    </w:tbl>
    <w:p>
      <w:pPr>
        <w:spacing w:after="20"/>
      </w:pPr>
    </w:p>
    <w:p>
      <w:r>
        <w:t>Le rendement de l'indice de référence vient de Returns_EQ : rendement(t) = indice(t) / indice(t−1) − 1. En US, WIUSAU Index est la série de rendement ; SP500_bench est le nom des poids dans Bench. Changer seulement le titre d'un graphique ne change pas les données utilisées.</w:t>
      </w:r>
    </w:p>
    <w:p>
      <w:r>
        <w:t>Le portefeuille d'un mois utilise le signal du mois précédent et les derniers poids Bench. Positive : max(1,20 × poids ; poids + 0,05). Negative : min(0,80 × poids ; max(poids − 0,05 ; 0)). Neutral : poids inchangé. Les poids sont ensuite ramenés à 100 %.</w:t>
      </w:r>
    </w:p>
    <w:p>
      <w:r>
        <w:t>Les graphiques montrent l'indice de référence, le portefeuille, Top, Bottom et Long/Short = Top − Bottom. Si le cumul du portefeuille s'arrête, actualisation.txt indique le premier mois concerné et les secteurs sans poids Bench ou rendement.</w:t>
      </w:r>
    </w:p>
    <w:p>
      <w:pPr>
        <w:pStyle w:val="Heading2"/>
        <w:keepNext/>
      </w:pPr>
      <w:r>
        <w:t>C3. Source des règles</w:t>
      </w:r>
    </w:p>
    <w:p>
      <w:r>
        <w:t>local_config.py contient les paramètres. data_utils.py lit les données et l'historique. model_secto.py calcule les scores et les votes. excel_output.py crée les tableaux. sector_deviations.py met à jour les signaux ICB dans le classeur d'allocation.</w:t>
      </w:r>
    </w:p>
    <w:p>
      <w:pPr>
        <w:pStyle w:val="Heading1"/>
        <w:pageBreakBefore/>
      </w:pPr>
      <w:r>
        <w:t>ANNEXE D — Utilisation pratique</w:t>
      </w:r>
    </w:p>
    <w:p>
      <w:pPr>
        <w:pStyle w:val="Heading2"/>
      </w:pPr>
      <w:r>
        <w:t>D1. Installation et choix du mode</w:t>
      </w:r>
    </w:p>
    <w:p>
      <w:r>
        <w:t>Sur l'autre ordinateur, installer Python 3.11 et Excel. Copier le projet dans le dossier de son choix, puis lancer python -m pip install -r requirements.txt depuis ce dossier. Pour actualiser FactSet ou Bloomberg, installer aussi les compléments et disposer d'un accès.</w:t>
      </w:r>
    </w:p>
    <w:p>
      <w:r>
        <w:t>À la fin de actualiser_excel.py, choisir mode et les paramètres de main(...), puis lancer python actualiser_excel.py. Le mode par défaut est production : il met à jour les fichiers et les ouvre après réussite. Vérifier que le mois est terminé : le programme ne filtre pas le mois en cours.</w:t>
      </w:r>
    </w:p>
    <w:p>
      <w:r>
        <w:t>rebuild et replay demandent un dossier output_dir vide, différent du dossier du projet et de output/. rebuild crée un nouvel historique à partir des Excel et demande history_file=None. replay lit le fichier d'historique indiqué par history_file ; avec None, il utilise data_history.xlsx du projet. Ces modes ne modifient pas les modèles.</w:t>
      </w:r>
    </w:p>
    <w:p>
      <w:r>
        <w:t>Exemple rebuild : mode = "rebuild" et output_dir="output/rebuild_octobre". Exemple replay : mode = "replay", output_dir="output/replay_test" et history_file="output/rebuild_octobre/data_history.xlsx". output_dir et history_file se règlent dans main(...).</w:t>
      </w:r>
    </w:p>
    <w:p>
      <w:pPr>
        <w:pStyle w:val="Heading2"/>
      </w:pPr>
      <w:r>
        <w:t>D2. Répartition vers les 19 supersecteurs</w:t>
      </w:r>
    </w:p>
    <w:p>
      <w:r>
        <w:t>La production écrit les recommandations dans Signals_EU et Signals_US de reco_secto_facto.xlsx. Les formules Excel calculent les feuilles secto_eu et secto_us. La présentation reste en place. La date affichée est le premier jour du mois suivant le signal. Le chemin du fichier se règle dans local_config.py avec SECTOR_DEVIATION_EXCEL_FILE.</w:t>
      </w:r>
    </w:p>
    <w:p>
      <w:r>
        <w:t>Dans Mapping!I2, on règle l'amplitude : elle est actuellement de 5 %. Les parts sont en C/E. Modifier seulement les noms en B/D ne change pas les références des formules. En EU, Fin est réparti 60/20/20 entre Banks, Financial Services et Insurance ; Materials 50/50 entre Basic Resources et Chemicals ; Indus 80/20 entre Industrial Goods &amp; Services et Construction &amp; Materials. En US, Fin et Materials sont chacun divisés en trois parts égales.</w:t>
      </w:r>
    </w:p>
    <w:p>
      <w:r>
        <w:t>Les positions positives et négatives sont équilibrées pour que le total de chaque marché soit nul chaque mois. S'il n'y a qu'un seul côté, toutes les déviations sont nulles.</w:t>
      </w:r>
    </w:p>
    <w:p>
      <w:pPr>
        <w:pStyle w:val="Heading2"/>
      </w:pPr>
      <w:r>
        <w:t>D3. Recherche et fichiers locaux</w:t>
      </w:r>
    </w:p>
    <w:p>
      <w:r>
        <w:t>Le dossier research/ contient le notebook research_secto.ipynb et les notebooks d'audit EU/US. Dans VS Code, l'extension Jupyter permet de les ouvrir. Pour utiliser la classe en Python : from research.research_secto import SectorResearch. Choisir les variables avant le calcul. Les backtests sont des tests sur les données passées, séparés du portefeuille de production.</w:t>
      </w:r>
    </w:p>
    <w:p>
      <w:r>
        <w:t>output/ contient les résultats du mois et la sauvegarde avant actualisation. archive/ contient les anciens essais et documents. Ces dossiers restent sur l'ordinateur et ne sont pas envoyés sur GitHub. Les copier séparément si on en a besoin sur un autre ordinateur.</w:t>
      </w:r>
    </w:p>
    <w:sectPr w:rsidR="00FC693F" w:rsidRPr="0006063C" w:rsidSect="00034616">
      <w:headerReference w:type="default" r:id="rId9"/>
      <w:footerReference w:type="default" r:id="rId10"/>
      <w:pgSz w:w="11906" w:h="16838"/>
      <w:pgMar w:top="1049" w:right="1162" w:bottom="992" w:left="1162" w:header="442"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Yu Gothic">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jc w:val="right"/>
    </w:pPr>
    <w:r>
      <w:t xml:space="preserve">Guide de production et méthode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pBdr>
        <w:bottom w:val="single" w:sz="8" w:color="BCD2D6"/>
      </w:pBdr>
    </w:pPr>
    <w:r>
      <w:t>MODÈLE SECTORIEL  /  EU • 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293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83049"/>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b/>
      <w:bCs/>
      <w:color w:val="18646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8304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626D7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Normal">
    <w:name w:val="TableNormal"/>
    <w:basedOn w:val="Normal"/>
    <w:pPr>
      <w:spacing w:after="0" w:line="259" w:lineRule="auto"/>
    </w:pPr>
    <w:rPr>
      <w:sz w:val="17"/>
    </w:rPr>
  </w:style>
  <w:style w:type="paragraph" w:customStyle="1" w:styleId="StepText">
    <w:name w:val="StepText"/>
    <w:basedOn w:val="Normal"/>
    <w:pPr>
      <w:spacing w:after="120"/>
      <w:ind w:left="187" w:hanging="187"/>
    </w:pPr>
  </w:style>
  <w:style w:type="paragraph" w:customStyle="1" w:styleId="SmallCaption">
    <w:name w:val="SmallCaption"/>
    <w:basedOn w:val="Normal"/>
    <w:rPr>
      <w:color w:val="626D7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Yu Gothic"/>
        <a:font script="Hang" typeface="맑은 고딕"/>
        <a:font script="Hans" typeface="DengXia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Yu Gothic"/>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sectoriel EU / US — Guide de production et méthode</dc:title>
  <dc:subject>Production mensuelle et calcul des signaux sectoriels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