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Modèle sectoriel EU / US</w:t>
      </w:r>
    </w:p>
    <w:p>
      <w:pPr>
        <w:pStyle w:val="Subtitle"/>
      </w:pPr>
      <w:r>
        <w:rPr>
          <w:b w:val="0"/>
        </w:rPr>
        <w:t>Guide de production et méthode</w:t>
      </w:r>
    </w:p>
    <w:p>
      <w:r>
        <w:rPr>
          <w:b w:val="0"/>
        </w:rPr>
        <w:t>Version vérifiée le 26 octobre 2026</w:t>
      </w:r>
    </w:p>
    <w:p>
      <w:r>
        <w:rPr>
          <w:b w:val="0"/>
        </w:rPr>
        <w:t>Ce guide décrit les fichiers et le code présents dans le projet. Il sert à produire les deux marchés chaque mois, à lire les résultats et à retrouver le calcul de chaque score.</w:t>
      </w:r>
    </w:p>
    <w:p>
      <w:pPr>
        <w:pStyle w:val="Heading2"/>
      </w:pPr>
      <w:r>
        <w:t>Structure et circulation des données</w:t>
      </w:r>
    </w:p>
    <w:p>
      <w:r>
        <w:drawing>
          <wp:inline xmlns:a="http://schemas.openxmlformats.org/drawingml/2006/main" xmlns:pic="http://schemas.openxmlformats.org/drawingml/2006/picture">
            <wp:extent cx="6446520" cy="2098453"/>
            <wp:docPr id="1" name="Picture 1"/>
            <wp:cNvGraphicFramePr>
              <a:graphicFrameLocks noChangeAspect="1"/>
            </wp:cNvGraphicFramePr>
            <a:graphic>
              <a:graphicData uri="http://schemas.openxmlformats.org/drawingml/2006/picture">
                <pic:pic>
                  <pic:nvPicPr>
                    <pic:cNvPr id="0" name="pipeline_vue_ensemble.png"/>
                    <pic:cNvPicPr/>
                  </pic:nvPicPr>
                  <pic:blipFill>
                    <a:blip r:embed="rId10"/>
                    <a:stretch>
                      <a:fillRect/>
                    </a:stretch>
                  </pic:blipFill>
                  <pic:spPr>
                    <a:xfrm>
                      <a:off x="0" y="0"/>
                      <a:ext cx="6446520" cy="2098453"/>
                    </a:xfrm>
                    <a:prstGeom prst="rect"/>
                  </pic:spPr>
                </pic:pic>
              </a:graphicData>
            </a:graphic>
          </wp:inline>
        </w:drawing>
      </w:r>
    </w:p>
    <w:p>
      <w:pPr>
        <w:pStyle w:val="Caption"/>
      </w:pPr>
      <w:r>
        <w:rPr>
          <w:b w:val="0"/>
        </w:rPr>
        <w:t>Vue d’ensemble — Un fichier pour le modèle, un fichier pour les données et un fichier pour les sorties Excel.</w:t>
      </w:r>
    </w:p>
    <w:p>
      <w:r>
        <w:rPr>
          <w:b w:val="0"/>
        </w:rPr>
        <w:t>Chaque mois : enregistrer les entrées actualisées, fermer les fichiers, puis lancer Actualiser.bat. Les deux classeurs terminés s’ouvrent pour le contrôle final. La collecte fournisseur et la validation restent manuelles.</w:t>
      </w:r>
    </w:p>
    <w:p>
      <w:pPr>
        <w:pStyle w:val="Heading2"/>
      </w:pPr>
      <w:r>
        <w:t>Où lire en premier</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7920"/>
        <w:gridCol w:w="2304"/>
      </w:tblGrid>
      <w:tr>
        <w:trPr>
          <w:cantSplit/>
          <w:tblHeader/>
        </w:trPr>
        <w:tc>
          <w:tcPr>
            <w:tcW w:type="dxa" w:w="7920"/>
            <w:vAlign w:val="center"/>
            <w:shd w:fill="E8E8E8"/>
          </w:tcPr>
          <w:p>
            <w:pPr>
              <w:spacing w:after="40" w:before="40" w:line="240" w:lineRule="auto"/>
            </w:pPr>
            <w:r>
              <w:rPr>
                <w:rFonts w:ascii="Calibri" w:hAnsi="Calibri"/>
                <w:b/>
                <w:sz w:val="20"/>
              </w:rPr>
              <w:t>Besoin</w:t>
            </w:r>
          </w:p>
        </w:tc>
        <w:tc>
          <w:tcPr>
            <w:tcW w:type="dxa" w:w="2304"/>
            <w:vAlign w:val="center"/>
            <w:shd w:fill="E8E8E8"/>
          </w:tcPr>
          <w:p>
            <w:pPr>
              <w:spacing w:after="40" w:before="40" w:line="240" w:lineRule="auto"/>
            </w:pPr>
            <w:r>
              <w:rPr>
                <w:rFonts w:ascii="Calibri" w:hAnsi="Calibri"/>
                <w:b/>
                <w:sz w:val="20"/>
              </w:rPr>
              <w:t>Pages</w:t>
            </w:r>
          </w:p>
        </w:tc>
      </w:tr>
      <w:tr>
        <w:trPr>
          <w:cantSplit/>
        </w:trPr>
        <w:tc>
          <w:tcPr>
            <w:tcW w:type="dxa" w:w="7920"/>
            <w:vAlign w:val="center"/>
          </w:tcPr>
          <w:p>
            <w:pPr>
              <w:spacing w:after="40" w:before="40" w:line="240" w:lineRule="auto"/>
            </w:pPr>
            <w:r>
              <w:rPr>
                <w:rFonts w:ascii="Calibri" w:hAnsi="Calibri"/>
                <w:b w:val="0"/>
                <w:sz w:val="20"/>
              </w:rPr>
              <w:t>Produire le mois et contrôler le résultat</w:t>
            </w:r>
          </w:p>
        </w:tc>
        <w:tc>
          <w:tcPr>
            <w:tcW w:type="dxa" w:w="2304"/>
            <w:vAlign w:val="center"/>
          </w:tcPr>
          <w:p>
            <w:pPr>
              <w:spacing w:after="40" w:before="40" w:line="240" w:lineRule="auto"/>
            </w:pPr>
            <w:r>
              <w:rPr>
                <w:rFonts w:ascii="Calibri" w:hAnsi="Calibri"/>
                <w:b w:val="0"/>
                <w:sz w:val="20"/>
              </w:rPr>
              <w:t>2–6</w:t>
            </w:r>
          </w:p>
        </w:tc>
      </w:tr>
      <w:tr>
        <w:trPr>
          <w:cantSplit/>
        </w:trPr>
        <w:tc>
          <w:tcPr>
            <w:tcW w:type="dxa" w:w="7920"/>
            <w:vAlign w:val="center"/>
            <w:shd w:fill="F7F7F7"/>
          </w:tcPr>
          <w:p>
            <w:pPr>
              <w:spacing w:after="40" w:before="40" w:line="240" w:lineRule="auto"/>
            </w:pPr>
            <w:r>
              <w:rPr>
                <w:rFonts w:ascii="Calibri" w:hAnsi="Calibri"/>
                <w:b w:val="0"/>
                <w:sz w:val="20"/>
              </w:rPr>
              <w:t>Trouver les entrées, les scripts et les sorties</w:t>
            </w:r>
          </w:p>
        </w:tc>
        <w:tc>
          <w:tcPr>
            <w:tcW w:type="dxa" w:w="2304"/>
            <w:vAlign w:val="center"/>
            <w:shd w:fill="F7F7F7"/>
          </w:tcPr>
          <w:p>
            <w:pPr>
              <w:spacing w:after="40" w:before="40" w:line="240" w:lineRule="auto"/>
            </w:pPr>
            <w:r>
              <w:rPr>
                <w:rFonts w:ascii="Calibri" w:hAnsi="Calibri"/>
                <w:b w:val="0"/>
                <w:sz w:val="20"/>
              </w:rPr>
              <w:t>7–10</w:t>
            </w:r>
          </w:p>
        </w:tc>
      </w:tr>
      <w:tr>
        <w:trPr>
          <w:cantSplit/>
        </w:trPr>
        <w:tc>
          <w:tcPr>
            <w:tcW w:type="dxa" w:w="7920"/>
            <w:vAlign w:val="center"/>
          </w:tcPr>
          <w:p>
            <w:pPr>
              <w:spacing w:after="40" w:before="40" w:line="240" w:lineRule="auto"/>
            </w:pPr>
            <w:r>
              <w:rPr>
                <w:rFonts w:ascii="Calibri" w:hAnsi="Calibri"/>
                <w:b w:val="0"/>
                <w:sz w:val="20"/>
              </w:rPr>
              <w:t>Voir le déroulement du pipeline</w:t>
            </w:r>
          </w:p>
        </w:tc>
        <w:tc>
          <w:tcPr>
            <w:tcW w:type="dxa" w:w="2304"/>
            <w:vAlign w:val="center"/>
          </w:tcPr>
          <w:p>
            <w:pPr>
              <w:spacing w:after="40" w:before="40" w:line="240" w:lineRule="auto"/>
            </w:pPr>
            <w:r>
              <w:rPr>
                <w:rFonts w:ascii="Calibri" w:hAnsi="Calibri"/>
                <w:b w:val="0"/>
                <w:sz w:val="20"/>
              </w:rPr>
              <w:t>11–12 — annexe A</w:t>
            </w:r>
          </w:p>
        </w:tc>
      </w:tr>
      <w:tr>
        <w:trPr>
          <w:cantSplit/>
        </w:trPr>
        <w:tc>
          <w:tcPr>
            <w:tcW w:type="dxa" w:w="7920"/>
            <w:vAlign w:val="center"/>
            <w:shd w:fill="F7F7F7"/>
          </w:tcPr>
          <w:p>
            <w:pPr>
              <w:spacing w:after="40" w:before="40" w:line="240" w:lineRule="auto"/>
            </w:pPr>
            <w:r>
              <w:rPr>
                <w:rFonts w:ascii="Calibri" w:hAnsi="Calibri"/>
                <w:b w:val="0"/>
                <w:sz w:val="20"/>
              </w:rPr>
              <w:t>Comprendre les scores EU et US</w:t>
            </w:r>
          </w:p>
        </w:tc>
        <w:tc>
          <w:tcPr>
            <w:tcW w:type="dxa" w:w="2304"/>
            <w:vAlign w:val="center"/>
            <w:shd w:fill="F7F7F7"/>
          </w:tcPr>
          <w:p>
            <w:pPr>
              <w:spacing w:after="40" w:before="40" w:line="240" w:lineRule="auto"/>
            </w:pPr>
            <w:r>
              <w:rPr>
                <w:rFonts w:ascii="Calibri" w:hAnsi="Calibri"/>
                <w:b w:val="0"/>
                <w:sz w:val="20"/>
              </w:rPr>
              <w:t>13–23 — annexe B</w:t>
            </w:r>
          </w:p>
        </w:tc>
      </w:tr>
      <w:tr>
        <w:trPr>
          <w:cantSplit/>
        </w:trPr>
        <w:tc>
          <w:tcPr>
            <w:tcW w:type="dxa" w:w="7920"/>
            <w:vAlign w:val="center"/>
          </w:tcPr>
          <w:p>
            <w:pPr>
              <w:spacing w:after="40" w:before="40" w:line="240" w:lineRule="auto"/>
            </w:pPr>
            <w:r>
              <w:rPr>
                <w:rFonts w:ascii="Calibri" w:hAnsi="Calibri"/>
                <w:b w:val="0"/>
                <w:sz w:val="20"/>
              </w:rPr>
              <w:t>Comprendre les performances et retrouver les sources</w:t>
            </w:r>
          </w:p>
        </w:tc>
        <w:tc>
          <w:tcPr>
            <w:tcW w:type="dxa" w:w="2304"/>
            <w:vAlign w:val="center"/>
          </w:tcPr>
          <w:p>
            <w:pPr>
              <w:spacing w:after="40" w:before="40" w:line="240" w:lineRule="auto"/>
            </w:pPr>
            <w:r>
              <w:rPr>
                <w:rFonts w:ascii="Calibri" w:hAnsi="Calibri"/>
                <w:b w:val="0"/>
                <w:sz w:val="20"/>
              </w:rPr>
              <w:t>24–25</w:t>
            </w:r>
          </w:p>
        </w:tc>
      </w:tr>
    </w:tbl>
    <w:p>
      <w:pPr>
        <w:spacing w:after="0"/>
      </w:pPr>
      <w:r>
        <w:rPr>
          <w:b w:val="0"/>
        </w:rPr>
      </w:r>
    </w:p>
    <w:p>
      <w:pPr>
        <w:spacing w:before="100" w:after="0"/>
      </w:pPr>
      <w:r>
        <w:rPr>
          <w:b w:val="0"/>
          <w:color w:val="505050"/>
          <w:sz w:val="18"/>
        </w:rPr>
        <w:t>Source : actualiser_excel.py → main ; excel_output.py → build_output.</w:t>
      </w:r>
    </w:p>
    <w:p>
      <w:r>
        <w:br w:type="page"/>
      </w:r>
    </w:p>
    <w:p>
      <w:pPr>
        <w:spacing w:after="40"/>
      </w:pPr>
      <w:r>
        <w:rPr>
          <w:b w:val="0"/>
          <w:color w:val="555555"/>
          <w:sz w:val="18"/>
        </w:rPr>
        <w:t>PRODUCTION MENSUELLE</w:t>
      </w:r>
    </w:p>
    <w:p>
      <w:pPr>
        <w:pStyle w:val="Heading1"/>
      </w:pPr>
      <w:r>
        <w:t>1. Préparer le mois</w:t>
      </w:r>
    </w:p>
    <w:p>
      <w:pPr>
        <w:pStyle w:val="Heading2"/>
      </w:pPr>
      <w:r>
        <w:t>1 — Choisir le mois de signal</w:t>
      </w:r>
    </w:p>
    <w:p>
      <w:r>
        <w:rPr>
          <w:b w:val="0"/>
        </w:rPr>
        <w:t>Choisir un mois terminé. Identifier la date de fin de mois attendue et le mois d’allocation suivant. Le programme ne propose pas de date « as of » dans Actualiser.bat et n’exclut pas automatiquement les observations du mois en cours.</w:t>
      </w:r>
    </w:p>
    <w:p>
      <w:r>
        <w:rPr>
          <w:b w:val="0"/>
        </w:rPr>
        <w:t>Une date reçue est ramenée à la fin de son mois. Cela ne prouve pas que le mois est complet. Vérifier les dates et la nature des observations avant la première exécution qui peut les figer dans data_history.xlsx.</w:t>
      </w:r>
    </w:p>
    <w:p>
      <w:pPr>
        <w:pStyle w:val="Heading2"/>
      </w:pPr>
      <w:r>
        <w:t>2 — Garder une copie des entrées</w:t>
      </w:r>
    </w:p>
    <w:p>
      <w:r>
        <w:rPr>
          <w:b w:val="0"/>
        </w:rPr>
        <w:t>Avant de rafraîchir les données, conserver une copie mensuelle des deux Score_Sectoriel_*.xlsm, de maj cycle macro2.xlsx et de data_history.xlsx. Utiliser un dossier d’archive distinct du dossier de travail.</w:t>
      </w:r>
    </w:p>
    <w:p>
      <w:r>
        <w:rPr>
          <w:b w:val="0"/>
        </w:rPr>
        <w:t>La sauvegarde automatique dans output/avant_actualisation garde seulement l’état avant le dernier lancement des deux classeurs sectoriels et de l’historique. Elle ne remplace pas une archive mensuelle et ne couvre pas le fichier macro.</w:t>
      </w:r>
    </w:p>
    <w:p>
      <w:pPr>
        <w:pStyle w:val="Heading2"/>
      </w:pPr>
      <w:r>
        <w:t>3 — Rafraîchir les données des fournisseurs</w:t>
      </w:r>
    </w:p>
    <w:p>
      <w:pPr>
        <w:pStyle w:val="ListBullet"/>
      </w:pPr>
      <w:r>
        <w:rPr>
          <w:b w:val="0"/>
        </w:rPr>
        <w:t>Ouvrir les classeurs source avec les compléments nécessaires connectés. Utiliser la commande de rafraîchissement du complément FactSet ou Bloomberg concerné.</w:t>
      </w:r>
    </w:p>
    <w:p>
      <w:pPr>
        <w:pStyle w:val="ListBullet"/>
      </w:pPr>
      <w:r>
        <w:rPr>
          <w:b w:val="0"/>
        </w:rPr>
        <w:t>Actualiser Returns_EQ et les cinq feuilles Leverage_FMA, Margin_FMA, Valuation_FMA_hist, MOM_FMA et Growth_FMA. Contrôler les dates et les valeurs du mois attendu.</w:t>
      </w:r>
    </w:p>
    <w:p>
      <w:pPr>
        <w:pStyle w:val="ListBullet"/>
      </w:pPr>
      <w:r>
        <w:rPr>
          <w:b w:val="0"/>
        </w:rPr>
        <w:t>Actualiser maj cycle macro2.xlsx et laisser Excel calculer ses indicateurs intermédiaires. Enregistrer les valeurs obtenues.</w:t>
      </w:r>
    </w:p>
    <w:p>
      <w:pPr>
        <w:pStyle w:val="ListBullet"/>
      </w:pPr>
      <w:r>
        <w:rPr>
          <w:b w:val="0"/>
        </w:rPr>
        <w:t>Contrôler les erreurs fournisseur, les cellules vides et les séries qui s’arrêtent avant le mois voulu. Attendre la fin du rafraîchissement avant d’enregistrer.</w:t>
      </w:r>
    </w:p>
    <w:p>
      <w:pPr>
        <w:pStyle w:val="Heading2"/>
      </w:pPr>
      <w:r>
        <w:t>4 — Compléter les entrées manuelles</w:t>
      </w:r>
    </w:p>
    <w:p>
      <w:r>
        <w:rPr>
          <w:b w:val="0"/>
        </w:rPr>
        <w:t>Mettre à jour les poids sectoriels de Bench et la série de taux US 10 ans dans Cycle macro si de nouvelles observations sont disponibles. Conserver l’ordre des secteurs et le format des colonnes. Les détails des sources sont en pages 6 et 8.</w:t>
      </w:r>
    </w:p>
    <w:p>
      <w:pPr>
        <w:spacing w:before="100" w:after="0"/>
      </w:pPr>
      <w:r>
        <w:rPr>
          <w:b w:val="0"/>
          <w:color w:val="505050"/>
          <w:sz w:val="18"/>
        </w:rPr>
        <w:t>Source : data_utils.py → normalize_monthly_index, freeze_history, open_workbooks ; actualiser_excel.py → main.</w:t>
      </w:r>
    </w:p>
    <w:p>
      <w:r>
        <w:br w:type="page"/>
      </w:r>
    </w:p>
    <w:p>
      <w:pPr>
        <w:spacing w:after="40"/>
      </w:pPr>
      <w:r>
        <w:rPr>
          <w:b w:val="0"/>
          <w:color w:val="555555"/>
          <w:sz w:val="18"/>
        </w:rPr>
        <w:t>PRODUCTION MENSUELLE</w:t>
      </w:r>
    </w:p>
    <w:p>
      <w:pPr>
        <w:pStyle w:val="Heading1"/>
      </w:pPr>
      <w:r>
        <w:t>2. Lancer la production</w:t>
      </w:r>
    </w:p>
    <w:p>
      <w:pPr>
        <w:pStyle w:val="Heading2"/>
      </w:pPr>
      <w:r>
        <w:t>5 — Enregistrer et fermer les fichiers</w:t>
      </w:r>
    </w:p>
    <w:p>
      <w:r>
        <w:rPr>
          <w:b w:val="0"/>
        </w:rPr>
        <w:t>Enregistrer les deux classeurs sectoriels et le fichier macro après leur recalcul. Fermer les deux Score_Sectoriel_*.xlsm, maj cycle macro2.xlsx et data_history.xlsx. Éviter de les modifier pendant le calcul.</w:t>
      </w:r>
    </w:p>
    <w:p>
      <w:r>
        <w:rPr>
          <w:b w:val="0"/>
        </w:rPr>
        <w:t>Python lit les valeurs sauvegardées des formules. Une formule visible dans une cellule ne suffit pas si sa valeur n’a pas été recalculée et enregistrée par Excel.</w:t>
      </w:r>
    </w:p>
    <w:p>
      <w:pPr>
        <w:pStyle w:val="Heading2"/>
      </w:pPr>
      <w:r>
        <w:t>6 — Double-cliquer sur Actualiser.bat</w:t>
      </w:r>
    </w:p>
    <w:p>
      <w:r>
        <w:rPr>
          <w:b w:val="0"/>
        </w:rPr>
        <w:t>Laisser la fenêtre de commande et l’instance Excel ouverte par le programme travailler jusqu’à la fin. Il n’y a aucun tableau à copier ou à coller à la main.</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2304"/>
        <w:gridCol w:w="7920"/>
      </w:tblGrid>
      <w:tr>
        <w:trPr>
          <w:cantSplit/>
          <w:tblHeader/>
        </w:trPr>
        <w:tc>
          <w:tcPr>
            <w:tcW w:type="dxa" w:w="2304"/>
            <w:vAlign w:val="center"/>
            <w:shd w:fill="E8E8E8"/>
          </w:tcPr>
          <w:p>
            <w:pPr>
              <w:spacing w:after="40" w:before="40" w:line="240" w:lineRule="auto"/>
            </w:pPr>
            <w:r>
              <w:rPr>
                <w:rFonts w:ascii="Calibri" w:hAnsi="Calibri"/>
                <w:b/>
                <w:sz w:val="20"/>
              </w:rPr>
              <w:t>Étape automatique</w:t>
            </w:r>
          </w:p>
        </w:tc>
        <w:tc>
          <w:tcPr>
            <w:tcW w:type="dxa" w:w="7920"/>
            <w:vAlign w:val="center"/>
            <w:shd w:fill="E8E8E8"/>
          </w:tcPr>
          <w:p>
            <w:pPr>
              <w:spacing w:after="40" w:before="40" w:line="240" w:lineRule="auto"/>
            </w:pPr>
            <w:r>
              <w:rPr>
                <w:rFonts w:ascii="Calibri" w:hAnsi="Calibri"/>
                <w:b/>
                <w:sz w:val="20"/>
              </w:rPr>
              <w:t>Résultat</w:t>
            </w:r>
          </w:p>
        </w:tc>
      </w:tr>
      <w:tr>
        <w:trPr>
          <w:cantSplit/>
        </w:trPr>
        <w:tc>
          <w:tcPr>
            <w:tcW w:type="dxa" w:w="2304"/>
            <w:vAlign w:val="center"/>
          </w:tcPr>
          <w:p>
            <w:pPr>
              <w:spacing w:after="40" w:before="40" w:line="240" w:lineRule="auto"/>
            </w:pPr>
            <w:r>
              <w:rPr>
                <w:rFonts w:ascii="Calibri" w:hAnsi="Calibri"/>
                <w:b w:val="0"/>
                <w:sz w:val="20"/>
              </w:rPr>
              <w:t>Sauvegarde</w:t>
            </w:r>
          </w:p>
        </w:tc>
        <w:tc>
          <w:tcPr>
            <w:tcW w:type="dxa" w:w="7920"/>
            <w:vAlign w:val="center"/>
          </w:tcPr>
          <w:p>
            <w:pPr>
              <w:spacing w:after="40" w:before="40" w:line="240" w:lineRule="auto"/>
            </w:pPr>
            <w:r>
              <w:rPr>
                <w:rFonts w:ascii="Calibri" w:hAnsi="Calibri"/>
                <w:b w:val="0"/>
                <w:sz w:val="20"/>
              </w:rPr>
              <w:t>Copie les deux XLSM et data_history.xlsx dans output/avant_actualisation.</w:t>
            </w:r>
          </w:p>
        </w:tc>
      </w:tr>
      <w:tr>
        <w:trPr>
          <w:cantSplit/>
        </w:trPr>
        <w:tc>
          <w:tcPr>
            <w:tcW w:type="dxa" w:w="2304"/>
            <w:vAlign w:val="center"/>
            <w:shd w:fill="F7F7F7"/>
          </w:tcPr>
          <w:p>
            <w:pPr>
              <w:spacing w:after="40" w:before="40" w:line="240" w:lineRule="auto"/>
            </w:pPr>
            <w:r>
              <w:rPr>
                <w:rFonts w:ascii="Calibri" w:hAnsi="Calibri"/>
                <w:b w:val="0"/>
                <w:sz w:val="20"/>
              </w:rPr>
              <w:t>Calcul EU puis US</w:t>
            </w:r>
          </w:p>
        </w:tc>
        <w:tc>
          <w:tcPr>
            <w:tcW w:type="dxa" w:w="7920"/>
            <w:vAlign w:val="center"/>
            <w:shd w:fill="F7F7F7"/>
          </w:tcPr>
          <w:p>
            <w:pPr>
              <w:spacing w:after="40" w:before="40" w:line="240" w:lineRule="auto"/>
            </w:pPr>
            <w:r>
              <w:rPr>
                <w:rFonts w:ascii="Calibri" w:hAnsi="Calibri"/>
                <w:b w:val="0"/>
                <w:sz w:val="20"/>
              </w:rPr>
              <w:t>Lit les entrées, ajoute les nouvelles observations à l’historique, calcule scores, votes et recommandations.</w:t>
            </w:r>
          </w:p>
        </w:tc>
      </w:tr>
      <w:tr>
        <w:trPr>
          <w:cantSplit/>
        </w:trPr>
        <w:tc>
          <w:tcPr>
            <w:tcW w:type="dxa" w:w="2304"/>
            <w:vAlign w:val="center"/>
          </w:tcPr>
          <w:p>
            <w:pPr>
              <w:spacing w:after="40" w:before="40" w:line="240" w:lineRule="auto"/>
            </w:pPr>
            <w:r>
              <w:rPr>
                <w:rFonts w:ascii="Calibri" w:hAnsi="Calibri"/>
                <w:b w:val="0"/>
                <w:sz w:val="20"/>
              </w:rPr>
              <w:t>Construction des sorties</w:t>
            </w:r>
          </w:p>
        </w:tc>
        <w:tc>
          <w:tcPr>
            <w:tcW w:type="dxa" w:w="7920"/>
            <w:vAlign w:val="center"/>
          </w:tcPr>
          <w:p>
            <w:pPr>
              <w:spacing w:after="40" w:before="40" w:line="240" w:lineRule="auto"/>
            </w:pPr>
            <w:r>
              <w:rPr>
                <w:rFonts w:ascii="Calibri" w:hAnsi="Calibri"/>
                <w:b w:val="0"/>
                <w:sz w:val="20"/>
              </w:rPr>
              <w:t>Crée les CSV et les grilles Output avec leurs séries historiques.</w:t>
            </w:r>
          </w:p>
        </w:tc>
      </w:tr>
      <w:tr>
        <w:trPr>
          <w:cantSplit/>
        </w:trPr>
        <w:tc>
          <w:tcPr>
            <w:tcW w:type="dxa" w:w="2304"/>
            <w:vAlign w:val="center"/>
            <w:shd w:fill="F7F7F7"/>
          </w:tcPr>
          <w:p>
            <w:pPr>
              <w:spacing w:after="40" w:before="40" w:line="240" w:lineRule="auto"/>
            </w:pPr>
            <w:r>
              <w:rPr>
                <w:rFonts w:ascii="Calibri" w:hAnsi="Calibri"/>
                <w:b w:val="0"/>
                <w:sz w:val="20"/>
              </w:rPr>
              <w:t>Mise à jour dans Excel</w:t>
            </w:r>
          </w:p>
        </w:tc>
        <w:tc>
          <w:tcPr>
            <w:tcW w:type="dxa" w:w="7920"/>
            <w:vAlign w:val="center"/>
            <w:shd w:fill="F7F7F7"/>
          </w:tcPr>
          <w:p>
            <w:pPr>
              <w:spacing w:after="40" w:before="40" w:line="240" w:lineRule="auto"/>
            </w:pPr>
            <w:r>
              <w:rPr>
                <w:rFonts w:ascii="Calibri" w:hAnsi="Calibri"/>
                <w:b w:val="0"/>
                <w:sz w:val="20"/>
              </w:rPr>
              <w:t>Remplit Output, applique les formats, ajoute les mois à Reco_histo et actualise les objets du Dashboard.</w:t>
            </w:r>
          </w:p>
        </w:tc>
      </w:tr>
      <w:tr>
        <w:trPr>
          <w:cantSplit/>
        </w:trPr>
        <w:tc>
          <w:tcPr>
            <w:tcW w:type="dxa" w:w="2304"/>
            <w:vAlign w:val="center"/>
          </w:tcPr>
          <w:p>
            <w:pPr>
              <w:spacing w:after="40" w:before="40" w:line="240" w:lineRule="auto"/>
            </w:pPr>
            <w:r>
              <w:rPr>
                <w:rFonts w:ascii="Calibri" w:hAnsi="Calibri"/>
                <w:b w:val="0"/>
                <w:sz w:val="20"/>
              </w:rPr>
              <w:t>Enregistrement</w:t>
            </w:r>
          </w:p>
        </w:tc>
        <w:tc>
          <w:tcPr>
            <w:tcW w:type="dxa" w:w="7920"/>
            <w:vAlign w:val="center"/>
          </w:tcPr>
          <w:p>
            <w:pPr>
              <w:spacing w:after="40" w:before="40" w:line="240" w:lineRule="auto"/>
            </w:pPr>
            <w:r>
              <w:rPr>
                <w:rFonts w:ascii="Calibri" w:hAnsi="Calibri"/>
                <w:b w:val="0"/>
                <w:sz w:val="20"/>
              </w:rPr>
              <w:t>Installe les deux classeurs préparés et écrit output/actualisation.txt.</w:t>
            </w:r>
          </w:p>
        </w:tc>
      </w:tr>
      <w:tr>
        <w:trPr>
          <w:cantSplit/>
        </w:trPr>
        <w:tc>
          <w:tcPr>
            <w:tcW w:type="dxa" w:w="2304"/>
            <w:vAlign w:val="center"/>
            <w:shd w:fill="F7F7F7"/>
          </w:tcPr>
          <w:p>
            <w:pPr>
              <w:spacing w:after="40" w:before="40" w:line="240" w:lineRule="auto"/>
            </w:pPr>
            <w:r>
              <w:rPr>
                <w:rFonts w:ascii="Calibri" w:hAnsi="Calibri"/>
                <w:b w:val="0"/>
                <w:sz w:val="20"/>
              </w:rPr>
              <w:t>Ouverture</w:t>
            </w:r>
          </w:p>
        </w:tc>
        <w:tc>
          <w:tcPr>
            <w:tcW w:type="dxa" w:w="7920"/>
            <w:vAlign w:val="center"/>
            <w:shd w:fill="F7F7F7"/>
          </w:tcPr>
          <w:p>
            <w:pPr>
              <w:spacing w:after="40" w:before="40" w:line="240" w:lineRule="auto"/>
            </w:pPr>
            <w:r>
              <w:rPr>
                <w:rFonts w:ascii="Calibri" w:hAnsi="Calibri"/>
                <w:b w:val="0"/>
                <w:sz w:val="20"/>
              </w:rPr>
              <w:t>Le fichier BAT ouvre les deux classeurs terminés pour le contrôle.</w:t>
            </w:r>
          </w:p>
        </w:tc>
      </w:tr>
    </w:tbl>
    <w:p>
      <w:pPr>
        <w:spacing w:after="0"/>
      </w:pPr>
      <w:r>
        <w:rPr>
          <w:b w:val="0"/>
        </w:rPr>
      </w:r>
    </w:p>
    <w:p>
      <w:pPr>
        <w:pStyle w:val="Heading2"/>
      </w:pPr>
      <w:r>
        <w:t>Commande équivalente</w:t>
      </w:r>
    </w:p>
    <w:p>
      <w:pPr>
        <w:spacing w:after="140" w:line="240" w:lineRule="auto"/>
      </w:pPr>
      <w:r>
        <w:rPr>
          <w:rFonts w:ascii="Consolas" w:hAnsi="Consolas"/>
          <w:b w:val="0"/>
          <w:sz w:val="20"/>
        </w:rPr>
        <w:t>python actualiser_excel.py</w:t>
      </w:r>
    </w:p>
    <w:p>
      <w:r>
        <w:rPr>
          <w:b w:val="0"/>
        </w:rPr>
        <w:t>La commande Python fait la production. L’ouverture finale des deux fichiers est assurée par Actualiser.bat. Le poste doit disposer de Python, des dépendances de requirements.txt et d’Excel pour Windows.</w:t>
      </w:r>
    </w:p>
    <w:p>
      <w:pPr>
        <w:pStyle w:val="Heading2"/>
      </w:pPr>
      <w:r>
        <w:t>Ce que le lancement ne fait pas</w:t>
      </w:r>
    </w:p>
    <w:p>
      <w:r>
        <w:rPr>
          <w:b w:val="0"/>
        </w:rPr>
        <w:t>Il ne lance pas le rafraîchissement FactSet ou Bloomberg, ne saisit pas de nouveaux poids Bench et ne choisit pas une donnée absente à la place de l’utilisateur. Les anciennes macros Excel ne sont pas le point d’entrée de cette production.</w:t>
      </w:r>
    </w:p>
    <w:p>
      <w:pPr>
        <w:spacing w:before="100" w:after="0"/>
      </w:pPr>
      <w:r>
        <w:rPr>
          <w:b w:val="0"/>
          <w:color w:val="505050"/>
          <w:sz w:val="18"/>
        </w:rPr>
        <w:t>Source : Actualiser.bat ; actualiser_excel.py → main ; excel_output.py → fill_workbook ; model_secto.py → run_production.</w:t>
      </w:r>
    </w:p>
    <w:p>
      <w:r>
        <w:br w:type="page"/>
      </w:r>
    </w:p>
    <w:p>
      <w:pPr>
        <w:spacing w:after="40"/>
      </w:pPr>
      <w:r>
        <w:rPr>
          <w:b w:val="0"/>
          <w:color w:val="555555"/>
          <w:sz w:val="18"/>
        </w:rPr>
        <w:t>PRODUCTION MENSUELLE</w:t>
      </w:r>
    </w:p>
    <w:p>
      <w:pPr>
        <w:pStyle w:val="Heading1"/>
      </w:pPr>
      <w:r>
        <w:t>3. Contrôler avant de diffuser</w:t>
      </w:r>
    </w:p>
    <w:p>
      <w:pPr>
        <w:pStyle w:val="Heading2"/>
      </w:pPr>
      <w:r>
        <w:t>7 — Lire le bilan et les dates</w:t>
      </w:r>
    </w:p>
    <w:p>
      <w:r>
        <w:rPr>
          <w:b w:val="0"/>
        </w:rPr>
        <w:t>Ouvrir output/actualisation.txt. Pour chaque marché, lire la date obtenue, le nombre de mois ajoutés et la liste éventuelle des scores agrégés indisponibles. Un lancement terminé ne garantit pas que le mois souhaité est complet.</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3096"/>
        <w:gridCol w:w="7128"/>
      </w:tblGrid>
      <w:tr>
        <w:trPr>
          <w:cantSplit/>
          <w:tblHeader/>
        </w:trPr>
        <w:tc>
          <w:tcPr>
            <w:tcW w:type="dxa" w:w="3096"/>
            <w:vAlign w:val="center"/>
            <w:shd w:fill="E8E8E8"/>
          </w:tcPr>
          <w:p>
            <w:pPr>
              <w:spacing w:after="40" w:before="40" w:line="240" w:lineRule="auto"/>
            </w:pPr>
            <w:r>
              <w:rPr>
                <w:rFonts w:ascii="Calibri" w:hAnsi="Calibri"/>
                <w:b/>
                <w:sz w:val="20"/>
              </w:rPr>
              <w:t>Cellule dans Output</w:t>
            </w:r>
          </w:p>
        </w:tc>
        <w:tc>
          <w:tcPr>
            <w:tcW w:type="dxa" w:w="7128"/>
            <w:vAlign w:val="center"/>
            <w:shd w:fill="E8E8E8"/>
          </w:tcPr>
          <w:p>
            <w:pPr>
              <w:spacing w:after="40" w:before="40" w:line="240" w:lineRule="auto"/>
            </w:pPr>
            <w:r>
              <w:rPr>
                <w:rFonts w:ascii="Calibri" w:hAnsi="Calibri"/>
                <w:b/>
                <w:sz w:val="20"/>
              </w:rPr>
              <w:t>Question à vérifier</w:t>
            </w:r>
          </w:p>
        </w:tc>
      </w:tr>
      <w:tr>
        <w:trPr>
          <w:cantSplit/>
        </w:trPr>
        <w:tc>
          <w:tcPr>
            <w:tcW w:type="dxa" w:w="3096"/>
            <w:vAlign w:val="center"/>
          </w:tcPr>
          <w:p>
            <w:pPr>
              <w:spacing w:after="40" w:before="40" w:line="240" w:lineRule="auto"/>
            </w:pPr>
            <w:r>
              <w:rPr>
                <w:rFonts w:ascii="Calibri" w:hAnsi="Calibri"/>
                <w:b w:val="0"/>
                <w:sz w:val="20"/>
              </w:rPr>
              <w:t>B2 — Date modèle</w:t>
            </w:r>
          </w:p>
        </w:tc>
        <w:tc>
          <w:tcPr>
            <w:tcW w:type="dxa" w:w="7128"/>
            <w:vAlign w:val="center"/>
          </w:tcPr>
          <w:p>
            <w:pPr>
              <w:spacing w:after="40" w:before="40" w:line="240" w:lineRule="auto"/>
            </w:pPr>
            <w:r>
              <w:rPr>
                <w:rFonts w:ascii="Calibri" w:hAnsi="Calibri"/>
                <w:b w:val="0"/>
                <w:sz w:val="20"/>
              </w:rPr>
              <w:t>Est-ce la fin du mois de signal attendu ?</w:t>
            </w:r>
          </w:p>
        </w:tc>
      </w:tr>
      <w:tr>
        <w:trPr>
          <w:cantSplit/>
        </w:trPr>
        <w:tc>
          <w:tcPr>
            <w:tcW w:type="dxa" w:w="3096"/>
            <w:vAlign w:val="center"/>
            <w:shd w:fill="F7F7F7"/>
          </w:tcPr>
          <w:p>
            <w:pPr>
              <w:spacing w:after="40" w:before="40" w:line="240" w:lineRule="auto"/>
            </w:pPr>
            <w:r>
              <w:rPr>
                <w:rFonts w:ascii="Calibri" w:hAnsi="Calibri"/>
                <w:b w:val="0"/>
                <w:sz w:val="20"/>
              </w:rPr>
              <w:t>B3 — Derniers piliers</w:t>
            </w:r>
          </w:p>
        </w:tc>
        <w:tc>
          <w:tcPr>
            <w:tcW w:type="dxa" w:w="7128"/>
            <w:vAlign w:val="center"/>
            <w:shd w:fill="F7F7F7"/>
          </w:tcPr>
          <w:p>
            <w:pPr>
              <w:spacing w:after="40" w:before="40" w:line="240" w:lineRule="auto"/>
            </w:pPr>
            <w:r>
              <w:rPr>
                <w:rFonts w:ascii="Calibri" w:hAnsi="Calibri"/>
                <w:b w:val="0"/>
                <w:sz w:val="20"/>
              </w:rPr>
              <w:t>Certains piliers sont-ils plus récents que le signal final ? Cette date est le maximum des dates des piliers.</w:t>
            </w:r>
          </w:p>
        </w:tc>
      </w:tr>
      <w:tr>
        <w:trPr>
          <w:cantSplit/>
        </w:trPr>
        <w:tc>
          <w:tcPr>
            <w:tcW w:type="dxa" w:w="3096"/>
            <w:vAlign w:val="center"/>
          </w:tcPr>
          <w:p>
            <w:pPr>
              <w:spacing w:after="40" w:before="40" w:line="240" w:lineRule="auto"/>
            </w:pPr>
            <w:r>
              <w:rPr>
                <w:rFonts w:ascii="Calibri" w:hAnsi="Calibri"/>
                <w:b w:val="0"/>
                <w:sz w:val="20"/>
              </w:rPr>
              <w:t>B4 — Allocation</w:t>
            </w:r>
          </w:p>
        </w:tc>
        <w:tc>
          <w:tcPr>
            <w:tcW w:type="dxa" w:w="7128"/>
            <w:vAlign w:val="center"/>
          </w:tcPr>
          <w:p>
            <w:pPr>
              <w:spacing w:after="40" w:before="40" w:line="240" w:lineRule="auto"/>
            </w:pPr>
            <w:r>
              <w:rPr>
                <w:rFonts w:ascii="Calibri" w:hAnsi="Calibri"/>
                <w:b w:val="0"/>
                <w:sz w:val="20"/>
              </w:rPr>
              <w:t>Est-ce le premier jour du mois suivant le signal ?</w:t>
            </w:r>
          </w:p>
        </w:tc>
      </w:tr>
      <w:tr>
        <w:trPr>
          <w:cantSplit/>
        </w:trPr>
        <w:tc>
          <w:tcPr>
            <w:tcW w:type="dxa" w:w="3096"/>
            <w:vAlign w:val="center"/>
            <w:shd w:fill="F7F7F7"/>
          </w:tcPr>
          <w:p>
            <w:pPr>
              <w:spacing w:after="40" w:before="40" w:line="240" w:lineRule="auto"/>
            </w:pPr>
            <w:r>
              <w:rPr>
                <w:rFonts w:ascii="Calibri" w:hAnsi="Calibri"/>
                <w:b w:val="0"/>
                <w:sz w:val="20"/>
              </w:rPr>
              <w:t>B5 / B6 — Cycle / Signal taux</w:t>
            </w:r>
          </w:p>
        </w:tc>
        <w:tc>
          <w:tcPr>
            <w:tcW w:type="dxa" w:w="7128"/>
            <w:vAlign w:val="center"/>
            <w:shd w:fill="F7F7F7"/>
          </w:tcPr>
          <w:p>
            <w:pPr>
              <w:spacing w:after="40" w:before="40" w:line="240" w:lineRule="auto"/>
            </w:pPr>
            <w:r>
              <w:rPr>
                <w:rFonts w:ascii="Calibri" w:hAnsi="Calibri"/>
                <w:b w:val="0"/>
                <w:sz w:val="20"/>
              </w:rPr>
              <w:t>Le régime macro et le signal On / Off sont-ils disponibles ?</w:t>
            </w:r>
          </w:p>
        </w:tc>
      </w:tr>
      <w:tr>
        <w:trPr>
          <w:cantSplit/>
        </w:trPr>
        <w:tc>
          <w:tcPr>
            <w:tcW w:type="dxa" w:w="3096"/>
            <w:vAlign w:val="center"/>
          </w:tcPr>
          <w:p>
            <w:pPr>
              <w:spacing w:after="40" w:before="40" w:line="240" w:lineRule="auto"/>
            </w:pPr>
            <w:r>
              <w:rPr>
                <w:rFonts w:ascii="Calibri" w:hAnsi="Calibri"/>
                <w:b w:val="0"/>
                <w:sz w:val="20"/>
              </w:rPr>
              <w:t>B7 — Derniers poids benchmark</w:t>
            </w:r>
          </w:p>
        </w:tc>
        <w:tc>
          <w:tcPr>
            <w:tcW w:type="dxa" w:w="7128"/>
            <w:vAlign w:val="center"/>
          </w:tcPr>
          <w:p>
            <w:pPr>
              <w:spacing w:after="40" w:before="40" w:line="240" w:lineRule="auto"/>
            </w:pPr>
            <w:r>
              <w:rPr>
                <w:rFonts w:ascii="Calibri" w:hAnsi="Calibri"/>
                <w:b w:val="0"/>
                <w:sz w:val="20"/>
              </w:rPr>
              <w:t>Les derniers poids disponibles sont-ils suffisamment récents et approuvés ?</w:t>
            </w:r>
          </w:p>
        </w:tc>
      </w:tr>
      <w:tr>
        <w:trPr>
          <w:cantSplit/>
        </w:trPr>
        <w:tc>
          <w:tcPr>
            <w:tcW w:type="dxa" w:w="3096"/>
            <w:vAlign w:val="center"/>
            <w:shd w:fill="F7F7F7"/>
          </w:tcPr>
          <w:p>
            <w:pPr>
              <w:spacing w:after="40" w:before="40" w:line="240" w:lineRule="auto"/>
            </w:pPr>
            <w:r>
              <w:rPr>
                <w:rFonts w:ascii="Calibri" w:hAnsi="Calibri"/>
                <w:b w:val="0"/>
                <w:sz w:val="20"/>
              </w:rPr>
              <w:t>B8 — Derniers rendements</w:t>
            </w:r>
          </w:p>
        </w:tc>
        <w:tc>
          <w:tcPr>
            <w:tcW w:type="dxa" w:w="7128"/>
            <w:vAlign w:val="center"/>
            <w:shd w:fill="F7F7F7"/>
          </w:tcPr>
          <w:p>
            <w:pPr>
              <w:spacing w:after="40" w:before="40" w:line="240" w:lineRule="auto"/>
            </w:pPr>
            <w:r>
              <w:rPr>
                <w:rFonts w:ascii="Calibri" w:hAnsi="Calibri"/>
                <w:b w:val="0"/>
                <w:sz w:val="20"/>
              </w:rPr>
              <w:t>Les données de rendement couvrent-elles le mois voulu ?</w:t>
            </w:r>
          </w:p>
        </w:tc>
      </w:tr>
    </w:tbl>
    <w:p>
      <w:pPr>
        <w:spacing w:after="0"/>
      </w:pPr>
      <w:r>
        <w:rPr>
          <w:b w:val="0"/>
        </w:rPr>
      </w:r>
    </w:p>
    <w:p>
      <w:pPr>
        <w:pStyle w:val="Heading2"/>
      </w:pPr>
      <w:r>
        <w:t>8 — Lire les tableaux et les graphiques</w:t>
      </w:r>
    </w:p>
    <w:p>
      <w:pPr>
        <w:pStyle w:val="ListBullet"/>
      </w:pPr>
      <w:r>
        <w:rPr>
          <w:b w:val="0"/>
        </w:rPr>
        <w:t>Contrôler les scores, les mesures brutes et les n.a. du tableau qui commence en D1. Un n.a. est une donnée manquante, pas un zéro.</w:t>
      </w:r>
    </w:p>
    <w:p>
      <w:pPr>
        <w:pStyle w:val="ListBullet"/>
      </w:pPr>
      <w:r>
        <w:rPr>
          <w:b w:val="0"/>
        </w:rPr>
        <w:t>Déplier les six piliers du Dashboard. Vérifier les détails, les mini-historiques et la cohérence du mois affiché.</w:t>
      </w:r>
    </w:p>
    <w:p>
      <w:pPr>
        <w:pStyle w:val="ListBullet"/>
      </w:pPr>
      <w:r>
        <w:rPr>
          <w:b w:val="0"/>
        </w:rPr>
        <w:t>Contrôler les recommandations, les quatre graphiques et les deux tableaux liés. Vérifier que les courbes atteignent la période prévue.</w:t>
      </w:r>
    </w:p>
    <w:p>
      <w:pPr>
        <w:pStyle w:val="ListBullet"/>
      </w:pPr>
      <w:r>
        <w:rPr>
          <w:b w:val="0"/>
        </w:rPr>
        <w:t>Vérifier les nouveaux mois de Reco_histo. Les dates de cette feuille sont des dates de signal ; celles du tableau récent d’Output sont des mois d’allocation.</w:t>
      </w:r>
    </w:p>
    <w:p>
      <w:pPr>
        <w:pStyle w:val="ListBullet"/>
      </w:pPr>
      <w:r>
        <w:rPr>
          <w:b w:val="0"/>
        </w:rPr>
        <w:t>Confirmer que la source des rendements du benchmark, les poids Bench et les libellés correspondent au benchmark métier voulu. Voir page 8.</w:t>
      </w:r>
    </w:p>
    <w:p>
      <w:pPr>
        <w:pStyle w:val="Heading2"/>
      </w:pPr>
      <w:r>
        <w:t>9 — Valider et archiver</w:t>
      </w:r>
    </w:p>
    <w:p>
      <w:r>
        <w:rPr>
          <w:b w:val="0"/>
        </w:rPr>
        <w:t>Après contrôle, enregistrer les classeurs validés et conserver les fichiers d’entrée, les sorties et le bilan dans l’archive du mois. La validation et la diffusion restent manuelles.</w:t>
      </w:r>
    </w:p>
    <w:p>
      <w:pPr>
        <w:spacing w:before="100" w:after="0"/>
      </w:pPr>
      <w:r>
        <w:rPr>
          <w:b w:val="0"/>
          <w:color w:val="505050"/>
          <w:sz w:val="18"/>
        </w:rPr>
        <w:t>Source : excel_output.py → build_output ; excel_output.py → append_recommendations ; actualiser_excel.py → main.</w:t>
      </w:r>
    </w:p>
    <w:p>
      <w:r>
        <w:br w:type="page"/>
      </w:r>
    </w:p>
    <w:p>
      <w:pPr>
        <w:spacing w:after="40"/>
      </w:pPr>
      <w:r>
        <w:rPr>
          <w:b w:val="0"/>
          <w:color w:val="555555"/>
          <w:sz w:val="18"/>
        </w:rPr>
        <w:t>PRODUCTION MENSUELLE</w:t>
      </w:r>
    </w:p>
    <w:p>
      <w:pPr>
        <w:pStyle w:val="Heading1"/>
      </w:pPr>
      <w:r>
        <w:t>4. Si le résultat est en retard ou incomplet</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2880"/>
        <w:gridCol w:w="7344"/>
      </w:tblGrid>
      <w:tr>
        <w:trPr>
          <w:cantSplit/>
          <w:tblHeader/>
        </w:trPr>
        <w:tc>
          <w:tcPr>
            <w:tcW w:type="dxa" w:w="2880"/>
            <w:vAlign w:val="center"/>
            <w:shd w:fill="E8E8E8"/>
          </w:tcPr>
          <w:p>
            <w:pPr>
              <w:spacing w:after="40" w:before="40" w:line="240" w:lineRule="auto"/>
            </w:pPr>
            <w:r>
              <w:rPr>
                <w:rFonts w:ascii="Calibri" w:hAnsi="Calibri"/>
                <w:b/>
                <w:sz w:val="20"/>
              </w:rPr>
              <w:t>Constat</w:t>
            </w:r>
          </w:p>
        </w:tc>
        <w:tc>
          <w:tcPr>
            <w:tcW w:type="dxa" w:w="7344"/>
            <w:vAlign w:val="center"/>
            <w:shd w:fill="E8E8E8"/>
          </w:tcPr>
          <w:p>
            <w:pPr>
              <w:spacing w:after="40" w:before="40" w:line="240" w:lineRule="auto"/>
            </w:pPr>
            <w:r>
              <w:rPr>
                <w:rFonts w:ascii="Calibri" w:hAnsi="Calibri"/>
                <w:b/>
                <w:sz w:val="20"/>
              </w:rPr>
              <w:t>Vérification et action</w:t>
            </w:r>
          </w:p>
        </w:tc>
      </w:tr>
      <w:tr>
        <w:trPr>
          <w:cantSplit/>
        </w:trPr>
        <w:tc>
          <w:tcPr>
            <w:tcW w:type="dxa" w:w="2880"/>
            <w:vAlign w:val="center"/>
          </w:tcPr>
          <w:p>
            <w:pPr>
              <w:spacing w:after="40" w:before="40" w:line="240" w:lineRule="auto"/>
            </w:pPr>
            <w:r>
              <w:rPr>
                <w:rFonts w:ascii="Calibri" w:hAnsi="Calibri"/>
                <w:b w:val="0"/>
                <w:sz w:val="20"/>
              </w:rPr>
              <w:t>B2 est plus ancien que le mois voulu</w:t>
            </w:r>
          </w:p>
        </w:tc>
        <w:tc>
          <w:tcPr>
            <w:tcW w:type="dxa" w:w="7344"/>
            <w:vAlign w:val="center"/>
          </w:tcPr>
          <w:p>
            <w:pPr>
              <w:spacing w:after="40" w:before="40" w:line="240" w:lineRule="auto"/>
            </w:pPr>
            <w:r>
              <w:rPr>
                <w:rFonts w:ascii="Calibri" w:hAnsi="Calibri"/>
                <w:b w:val="0"/>
                <w:sz w:val="20"/>
              </w:rPr>
              <w:t>Comparer les dates des piliers, du cycle macro et du taux US 10 ans. Corriger ou compléter les entrées, enregistrer, puis relancer. Changer B2 ne recalcule rien.</w:t>
            </w:r>
          </w:p>
        </w:tc>
      </w:tr>
      <w:tr>
        <w:trPr>
          <w:cantSplit/>
        </w:trPr>
        <w:tc>
          <w:tcPr>
            <w:tcW w:type="dxa" w:w="2880"/>
            <w:vAlign w:val="center"/>
            <w:shd w:fill="F7F7F7"/>
          </w:tcPr>
          <w:p>
            <w:pPr>
              <w:spacing w:after="40" w:before="40" w:line="240" w:lineRule="auto"/>
            </w:pPr>
            <w:r>
              <w:rPr>
                <w:rFonts w:ascii="Calibri" w:hAnsi="Calibri"/>
                <w:b w:val="0"/>
                <w:sz w:val="20"/>
              </w:rPr>
              <w:t>B3 est récent mais B2 reste ancien</w:t>
            </w:r>
          </w:p>
        </w:tc>
        <w:tc>
          <w:tcPr>
            <w:tcW w:type="dxa" w:w="7344"/>
            <w:vAlign w:val="center"/>
            <w:shd w:fill="F7F7F7"/>
          </w:tcPr>
          <w:p>
            <w:pPr>
              <w:spacing w:after="40" w:before="40" w:line="240" w:lineRule="auto"/>
            </w:pPr>
            <w:r>
              <w:rPr>
                <w:rFonts w:ascii="Calibri" w:hAnsi="Calibri"/>
                <w:b w:val="0"/>
                <w:sz w:val="20"/>
              </w:rPr>
              <w:t>Le contexte macro ou le signal de taux peut arrêter la série des résultats finaux. B3 ne prouve pas que les six piliers sont complets pour tous les secteurs.</w:t>
            </w:r>
          </w:p>
        </w:tc>
      </w:tr>
      <w:tr>
        <w:trPr>
          <w:cantSplit/>
        </w:trPr>
        <w:tc>
          <w:tcPr>
            <w:tcW w:type="dxa" w:w="2880"/>
            <w:vAlign w:val="center"/>
          </w:tcPr>
          <w:p>
            <w:pPr>
              <w:spacing w:after="40" w:before="40" w:line="240" w:lineRule="auto"/>
            </w:pPr>
            <w:r>
              <w:rPr>
                <w:rFonts w:ascii="Calibri" w:hAnsi="Calibri"/>
                <w:b w:val="0"/>
                <w:sz w:val="20"/>
              </w:rPr>
              <w:t>Score ou courbe en n.a.</w:t>
            </w:r>
          </w:p>
        </w:tc>
        <w:tc>
          <w:tcPr>
            <w:tcW w:type="dxa" w:w="7344"/>
            <w:vAlign w:val="center"/>
          </w:tcPr>
          <w:p>
            <w:pPr>
              <w:spacing w:after="40" w:before="40" w:line="240" w:lineRule="auto"/>
            </w:pPr>
            <w:r>
              <w:rPr>
                <w:rFonts w:ascii="Calibri" w:hAnsi="Calibri"/>
                <w:b w:val="0"/>
                <w:sz w:val="20"/>
              </w:rPr>
              <w:t>Chercher la mesure absente dans les détails d’Output, puis dans la feuille source. Une valeur absente peut bloquer un pilier, un agrégat ou la suite d’une courbe.</w:t>
            </w:r>
          </w:p>
        </w:tc>
      </w:tr>
      <w:tr>
        <w:trPr>
          <w:cantSplit/>
        </w:trPr>
        <w:tc>
          <w:tcPr>
            <w:tcW w:type="dxa" w:w="2880"/>
            <w:vAlign w:val="center"/>
            <w:shd w:fill="F7F7F7"/>
          </w:tcPr>
          <w:p>
            <w:pPr>
              <w:spacing w:after="40" w:before="40" w:line="240" w:lineRule="auto"/>
            </w:pPr>
            <w:r>
              <w:rPr>
                <w:rFonts w:ascii="Calibri" w:hAnsi="Calibri"/>
                <w:b w:val="0"/>
                <w:sz w:val="20"/>
              </w:rPr>
              <w:t>La correction de l’entrée ne change pas le score</w:t>
            </w:r>
          </w:p>
        </w:tc>
        <w:tc>
          <w:tcPr>
            <w:tcW w:type="dxa" w:w="7344"/>
            <w:vAlign w:val="center"/>
            <w:shd w:fill="F7F7F7"/>
          </w:tcPr>
          <w:p>
            <w:pPr>
              <w:spacing w:after="40" w:before="40" w:line="240" w:lineRule="auto"/>
            </w:pPr>
            <w:r>
              <w:rPr>
                <w:rFonts w:ascii="Calibri" w:hAnsi="Calibri"/>
                <w:b w:val="0"/>
                <w:sz w:val="20"/>
              </w:rPr>
              <w:t>Le mois peut déjà être figé dans data_history.xlsx. Le programme conserve sa première observation. Une correction de l’archive est une opération distincte, à préparer sur une copie.</w:t>
            </w:r>
          </w:p>
        </w:tc>
      </w:tr>
      <w:tr>
        <w:trPr>
          <w:cantSplit/>
        </w:trPr>
        <w:tc>
          <w:tcPr>
            <w:tcW w:type="dxa" w:w="2880"/>
            <w:vAlign w:val="center"/>
          </w:tcPr>
          <w:p>
            <w:pPr>
              <w:spacing w:after="40" w:before="40" w:line="240" w:lineRule="auto"/>
            </w:pPr>
            <w:r>
              <w:rPr>
                <w:rFonts w:ascii="Calibri" w:hAnsi="Calibri"/>
                <w:b w:val="0"/>
                <w:sz w:val="20"/>
              </w:rPr>
              <w:t>Erreur de fichier ouvert / lecture seule</w:t>
            </w:r>
          </w:p>
        </w:tc>
        <w:tc>
          <w:tcPr>
            <w:tcW w:type="dxa" w:w="7344"/>
            <w:vAlign w:val="center"/>
          </w:tcPr>
          <w:p>
            <w:pPr>
              <w:spacing w:after="40" w:before="40" w:line="240" w:lineRule="auto"/>
            </w:pPr>
            <w:r>
              <w:rPr>
                <w:rFonts w:ascii="Calibri" w:hAnsi="Calibri"/>
                <w:b w:val="0"/>
                <w:sz w:val="20"/>
              </w:rPr>
              <w:t>Fermer les fichiers concernés, vérifier qu’aucune autre instance ne les utilise, puis relancer. Lire le message de la console.</w:t>
            </w:r>
          </w:p>
        </w:tc>
      </w:tr>
      <w:tr>
        <w:trPr>
          <w:cantSplit/>
        </w:trPr>
        <w:tc>
          <w:tcPr>
            <w:tcW w:type="dxa" w:w="2880"/>
            <w:vAlign w:val="center"/>
            <w:shd w:fill="F7F7F7"/>
          </w:tcPr>
          <w:p>
            <w:pPr>
              <w:spacing w:after="40" w:before="40" w:line="240" w:lineRule="auto"/>
            </w:pPr>
            <w:r>
              <w:rPr>
                <w:rFonts w:ascii="Calibri" w:hAnsi="Calibri"/>
                <w:b w:val="0"/>
                <w:sz w:val="20"/>
              </w:rPr>
              <w:t>Arrêt après le calcul ou pendant Excel</w:t>
            </w:r>
          </w:p>
        </w:tc>
        <w:tc>
          <w:tcPr>
            <w:tcW w:type="dxa" w:w="7344"/>
            <w:vAlign w:val="center"/>
            <w:shd w:fill="F7F7F7"/>
          </w:tcPr>
          <w:p>
            <w:pPr>
              <w:spacing w:after="40" w:before="40" w:line="240" w:lineRule="auto"/>
            </w:pPr>
            <w:r>
              <w:rPr>
                <w:rFonts w:ascii="Calibri" w:hAnsi="Calibri"/>
                <w:b w:val="0"/>
                <w:sz w:val="20"/>
              </w:rPr>
              <w:t>Lire le message et vérifier les fichiers présents. Les étapes ne forment pas une transaction globale : l’historique ou certains exports peuvent déjà avoir changé.</w:t>
            </w:r>
          </w:p>
        </w:tc>
      </w:tr>
      <w:tr>
        <w:trPr>
          <w:cantSplit/>
        </w:trPr>
        <w:tc>
          <w:tcPr>
            <w:tcW w:type="dxa" w:w="2880"/>
            <w:vAlign w:val="center"/>
          </w:tcPr>
          <w:p>
            <w:pPr>
              <w:spacing w:after="40" w:before="40" w:line="240" w:lineRule="auto"/>
            </w:pPr>
            <w:r>
              <w:rPr>
                <w:rFonts w:ascii="Calibri" w:hAnsi="Calibri"/>
                <w:b w:val="0"/>
                <w:sz w:val="20"/>
              </w:rPr>
              <w:t>Les courbes ne ressemblent pas au benchmark prévu</w:t>
            </w:r>
          </w:p>
        </w:tc>
        <w:tc>
          <w:tcPr>
            <w:tcW w:type="dxa" w:w="7344"/>
            <w:vAlign w:val="center"/>
          </w:tcPr>
          <w:p>
            <w:pPr>
              <w:spacing w:after="40" w:before="40" w:line="240" w:lineRule="auto"/>
            </w:pPr>
            <w:r>
              <w:rPr>
                <w:rFonts w:ascii="Calibri" w:hAnsi="Calibri"/>
                <w:b w:val="0"/>
                <w:sz w:val="20"/>
              </w:rPr>
              <w:t>Comparer les identifiants de Returns_EQ avec la source des poids Bench et les titres affichés. La différence actuelle est décrite page 8.</w:t>
            </w:r>
          </w:p>
        </w:tc>
      </w:tr>
    </w:tbl>
    <w:p>
      <w:pPr>
        <w:spacing w:after="0"/>
      </w:pPr>
      <w:r>
        <w:rPr>
          <w:b w:val="0"/>
        </w:rPr>
      </w:r>
    </w:p>
    <w:p>
      <w:pPr>
        <w:pStyle w:val="Heading2"/>
      </w:pPr>
      <w:r>
        <w:t>Reprendre après un incident</w:t>
      </w:r>
    </w:p>
    <w:p>
      <w:r>
        <w:rPr>
          <w:b w:val="0"/>
        </w:rPr>
        <w:t>Corriger la cause, conserver les fichiers de travail utiles, puis relancer sur des entrées cohérentes. Pour revenir à l’état précédent, restaurer ensemble les classeurs et l’historique de la même sauvegarde, sur une copie de travail. Refaire ensuite les sorties à partir de ces entrées.</w:t>
      </w:r>
    </w:p>
    <w:p>
      <w:r>
        <w:rPr>
          <w:b w:val="0"/>
        </w:rPr>
        <w:t>Les copies de travail sont placées dans le dossier temporaire du système, puis supprimées automatiquement. output/avant_actualisation contient la dernière sauvegarde automatique. Un ancien actualisation.txt peut rester après un échec : vérifier aussi son horodatage et le message final de la console.</w:t>
      </w:r>
    </w:p>
    <w:p>
      <w:pPr>
        <w:spacing w:before="100" w:after="0"/>
      </w:pPr>
      <w:r>
        <w:rPr>
          <w:b w:val="0"/>
          <w:color w:val="505050"/>
          <w:sz w:val="18"/>
        </w:rPr>
        <w:t>Source : actualiser_excel.py → main ; data_utils.py → save_history ; excel_output.py → compute_portfolio.</w:t>
      </w:r>
    </w:p>
    <w:p>
      <w:r>
        <w:br w:type="page"/>
      </w:r>
    </w:p>
    <w:p>
      <w:pPr>
        <w:spacing w:after="40"/>
      </w:pPr>
      <w:r>
        <w:rPr>
          <w:b w:val="0"/>
          <w:color w:val="555555"/>
          <w:sz w:val="18"/>
        </w:rPr>
        <w:t>ORGANISATION</w:t>
      </w:r>
    </w:p>
    <w:p>
      <w:pPr>
        <w:pStyle w:val="Heading1"/>
      </w:pPr>
      <w:r>
        <w:t>5. Manuel, automatique et historique</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2952"/>
        <w:gridCol w:w="2376"/>
        <w:gridCol w:w="4896"/>
      </w:tblGrid>
      <w:tr>
        <w:trPr>
          <w:cantSplit/>
          <w:tblHeader/>
        </w:trPr>
        <w:tc>
          <w:tcPr>
            <w:tcW w:type="dxa" w:w="2952"/>
            <w:vAlign w:val="center"/>
            <w:shd w:fill="E8E8E8"/>
          </w:tcPr>
          <w:p>
            <w:pPr>
              <w:spacing w:after="40" w:before="40" w:line="240" w:lineRule="auto"/>
            </w:pPr>
            <w:r>
              <w:rPr>
                <w:rFonts w:ascii="Calibri" w:hAnsi="Calibri"/>
                <w:b/>
                <w:sz w:val="20"/>
              </w:rPr>
              <w:t>Élément</w:t>
            </w:r>
          </w:p>
        </w:tc>
        <w:tc>
          <w:tcPr>
            <w:tcW w:type="dxa" w:w="2376"/>
            <w:vAlign w:val="center"/>
            <w:shd w:fill="E8E8E8"/>
          </w:tcPr>
          <w:p>
            <w:pPr>
              <w:spacing w:after="40" w:before="40" w:line="240" w:lineRule="auto"/>
            </w:pPr>
            <w:r>
              <w:rPr>
                <w:rFonts w:ascii="Calibri" w:hAnsi="Calibri"/>
                <w:b/>
                <w:sz w:val="20"/>
              </w:rPr>
              <w:t>Qui agit ?</w:t>
            </w:r>
          </w:p>
        </w:tc>
        <w:tc>
          <w:tcPr>
            <w:tcW w:type="dxa" w:w="4896"/>
            <w:vAlign w:val="center"/>
            <w:shd w:fill="E8E8E8"/>
          </w:tcPr>
          <w:p>
            <w:pPr>
              <w:spacing w:after="40" w:before="40" w:line="240" w:lineRule="auto"/>
            </w:pPr>
            <w:r>
              <w:rPr>
                <w:rFonts w:ascii="Calibri" w:hAnsi="Calibri"/>
                <w:b/>
                <w:sz w:val="20"/>
              </w:rPr>
              <w:t>Règle</w:t>
            </w:r>
          </w:p>
        </w:tc>
      </w:tr>
      <w:tr>
        <w:trPr>
          <w:cantSplit/>
        </w:trPr>
        <w:tc>
          <w:tcPr>
            <w:tcW w:type="dxa" w:w="2952"/>
            <w:vAlign w:val="center"/>
          </w:tcPr>
          <w:p>
            <w:pPr>
              <w:spacing w:after="40" w:before="40" w:line="240" w:lineRule="auto"/>
            </w:pPr>
            <w:r>
              <w:rPr>
                <w:rFonts w:ascii="Calibri" w:hAnsi="Calibri"/>
                <w:b w:val="0"/>
                <w:sz w:val="20"/>
              </w:rPr>
              <w:t>Données FactSet / Bloomberg</w:t>
            </w:r>
          </w:p>
        </w:tc>
        <w:tc>
          <w:tcPr>
            <w:tcW w:type="dxa" w:w="2376"/>
            <w:vAlign w:val="center"/>
          </w:tcPr>
          <w:p>
            <w:pPr>
              <w:spacing w:after="40" w:before="40" w:line="240" w:lineRule="auto"/>
            </w:pPr>
            <w:r>
              <w:rPr>
                <w:rFonts w:ascii="Calibri" w:hAnsi="Calibri"/>
                <w:b w:val="0"/>
                <w:sz w:val="20"/>
              </w:rPr>
              <w:t>Utilisateur + complément</w:t>
            </w:r>
          </w:p>
        </w:tc>
        <w:tc>
          <w:tcPr>
            <w:tcW w:type="dxa" w:w="4896"/>
            <w:vAlign w:val="center"/>
          </w:tcPr>
          <w:p>
            <w:pPr>
              <w:spacing w:after="40" w:before="40" w:line="240" w:lineRule="auto"/>
            </w:pPr>
            <w:r>
              <w:rPr>
                <w:rFonts w:ascii="Calibri" w:hAnsi="Calibri"/>
                <w:b w:val="0"/>
                <w:sz w:val="20"/>
              </w:rPr>
              <w:t>Rafraîchir, attendre la fin du calcul, vérifier et enregistrer.</w:t>
            </w:r>
          </w:p>
        </w:tc>
      </w:tr>
      <w:tr>
        <w:trPr>
          <w:cantSplit/>
        </w:trPr>
        <w:tc>
          <w:tcPr>
            <w:tcW w:type="dxa" w:w="2952"/>
            <w:vAlign w:val="center"/>
            <w:shd w:fill="F7F7F7"/>
          </w:tcPr>
          <w:p>
            <w:pPr>
              <w:spacing w:after="40" w:before="40" w:line="240" w:lineRule="auto"/>
            </w:pPr>
            <w:r>
              <w:rPr>
                <w:rFonts w:ascii="Calibri" w:hAnsi="Calibri"/>
                <w:b w:val="0"/>
                <w:sz w:val="20"/>
              </w:rPr>
              <w:t>Macro : données et calculs amont</w:t>
            </w:r>
          </w:p>
        </w:tc>
        <w:tc>
          <w:tcPr>
            <w:tcW w:type="dxa" w:w="2376"/>
            <w:vAlign w:val="center"/>
            <w:shd w:fill="F7F7F7"/>
          </w:tcPr>
          <w:p>
            <w:pPr>
              <w:spacing w:after="40" w:before="40" w:line="240" w:lineRule="auto"/>
            </w:pPr>
            <w:r>
              <w:rPr>
                <w:rFonts w:ascii="Calibri" w:hAnsi="Calibri"/>
                <w:b w:val="0"/>
                <w:sz w:val="20"/>
              </w:rPr>
              <w:t>Utilisateur + Excel</w:t>
            </w:r>
          </w:p>
        </w:tc>
        <w:tc>
          <w:tcPr>
            <w:tcW w:type="dxa" w:w="4896"/>
            <w:vAlign w:val="center"/>
            <w:shd w:fill="F7F7F7"/>
          </w:tcPr>
          <w:p>
            <w:pPr>
              <w:spacing w:after="40" w:before="40" w:line="240" w:lineRule="auto"/>
            </w:pPr>
            <w:r>
              <w:rPr>
                <w:rFonts w:ascii="Calibri" w:hAnsi="Calibri"/>
                <w:b w:val="0"/>
                <w:sz w:val="20"/>
              </w:rPr>
              <w:t>Mettre à jour le fichier macro et enregistrer ses indicateurs intermédiaires.</w:t>
            </w:r>
          </w:p>
        </w:tc>
      </w:tr>
      <w:tr>
        <w:trPr>
          <w:cantSplit/>
        </w:trPr>
        <w:tc>
          <w:tcPr>
            <w:tcW w:type="dxa" w:w="2952"/>
            <w:vAlign w:val="center"/>
          </w:tcPr>
          <w:p>
            <w:pPr>
              <w:spacing w:after="40" w:before="40" w:line="240" w:lineRule="auto"/>
            </w:pPr>
            <w:r>
              <w:rPr>
                <w:rFonts w:ascii="Calibri" w:hAnsi="Calibri"/>
                <w:b w:val="0"/>
                <w:sz w:val="20"/>
              </w:rPr>
              <w:t>Cycle macro : taux US 10 ans</w:t>
            </w:r>
          </w:p>
        </w:tc>
        <w:tc>
          <w:tcPr>
            <w:tcW w:type="dxa" w:w="2376"/>
            <w:vAlign w:val="center"/>
          </w:tcPr>
          <w:p>
            <w:pPr>
              <w:spacing w:after="40" w:before="40" w:line="240" w:lineRule="auto"/>
            </w:pPr>
            <w:r>
              <w:rPr>
                <w:rFonts w:ascii="Calibri" w:hAnsi="Calibri"/>
                <w:b w:val="0"/>
                <w:sz w:val="20"/>
              </w:rPr>
              <w:t>Utilisateur</w:t>
            </w:r>
          </w:p>
        </w:tc>
        <w:tc>
          <w:tcPr>
            <w:tcW w:type="dxa" w:w="4896"/>
            <w:vAlign w:val="center"/>
          </w:tcPr>
          <w:p>
            <w:pPr>
              <w:spacing w:after="40" w:before="40" w:line="240" w:lineRule="auto"/>
            </w:pPr>
            <w:r>
              <w:rPr>
                <w:rFonts w:ascii="Calibri" w:hAnsi="Calibri"/>
                <w:b w:val="0"/>
                <w:sz w:val="20"/>
              </w:rPr>
              <w:t>Compléter ou copier la série de taux dans le classeur sectoriel.</w:t>
            </w:r>
          </w:p>
        </w:tc>
      </w:tr>
      <w:tr>
        <w:trPr>
          <w:cantSplit/>
        </w:trPr>
        <w:tc>
          <w:tcPr>
            <w:tcW w:type="dxa" w:w="2952"/>
            <w:vAlign w:val="center"/>
            <w:shd w:fill="F7F7F7"/>
          </w:tcPr>
          <w:p>
            <w:pPr>
              <w:spacing w:after="40" w:before="40" w:line="240" w:lineRule="auto"/>
            </w:pPr>
            <w:r>
              <w:rPr>
                <w:rFonts w:ascii="Calibri" w:hAnsi="Calibri"/>
                <w:b w:val="0"/>
                <w:sz w:val="20"/>
              </w:rPr>
              <w:t>Bench : poids par secteur</w:t>
            </w:r>
          </w:p>
        </w:tc>
        <w:tc>
          <w:tcPr>
            <w:tcW w:type="dxa" w:w="2376"/>
            <w:vAlign w:val="center"/>
            <w:shd w:fill="F7F7F7"/>
          </w:tcPr>
          <w:p>
            <w:pPr>
              <w:spacing w:after="40" w:before="40" w:line="240" w:lineRule="auto"/>
            </w:pPr>
            <w:r>
              <w:rPr>
                <w:rFonts w:ascii="Calibri" w:hAnsi="Calibri"/>
                <w:b w:val="0"/>
                <w:sz w:val="20"/>
              </w:rPr>
              <w:t>Utilisateur</w:t>
            </w:r>
          </w:p>
        </w:tc>
        <w:tc>
          <w:tcPr>
            <w:tcW w:type="dxa" w:w="4896"/>
            <w:vAlign w:val="center"/>
            <w:shd w:fill="F7F7F7"/>
          </w:tcPr>
          <w:p>
            <w:pPr>
              <w:spacing w:after="40" w:before="40" w:line="240" w:lineRule="auto"/>
            </w:pPr>
            <w:r>
              <w:rPr>
                <w:rFonts w:ascii="Calibri" w:hAnsi="Calibri"/>
                <w:b w:val="0"/>
                <w:sz w:val="20"/>
              </w:rPr>
              <w:t>Ajouter les poids validés avec leur date. Conserver secteurs et unités.</w:t>
            </w:r>
          </w:p>
        </w:tc>
      </w:tr>
      <w:tr>
        <w:trPr>
          <w:cantSplit/>
        </w:trPr>
        <w:tc>
          <w:tcPr>
            <w:tcW w:type="dxa" w:w="2952"/>
            <w:vAlign w:val="center"/>
          </w:tcPr>
          <w:p>
            <w:pPr>
              <w:spacing w:after="40" w:before="40" w:line="240" w:lineRule="auto"/>
            </w:pPr>
            <w:r>
              <w:rPr>
                <w:rFonts w:ascii="Calibri" w:hAnsi="Calibri"/>
                <w:b w:val="0"/>
                <w:sz w:val="20"/>
              </w:rPr>
              <w:t>Config et local_config.py</w:t>
            </w:r>
          </w:p>
        </w:tc>
        <w:tc>
          <w:tcPr>
            <w:tcW w:type="dxa" w:w="2376"/>
            <w:vAlign w:val="center"/>
          </w:tcPr>
          <w:p>
            <w:pPr>
              <w:spacing w:after="40" w:before="40" w:line="240" w:lineRule="auto"/>
            </w:pPr>
            <w:r>
              <w:rPr>
                <w:rFonts w:ascii="Calibri" w:hAnsi="Calibri"/>
                <w:b w:val="0"/>
                <w:sz w:val="20"/>
              </w:rPr>
              <w:t>Utilisateur, si nécessaire</w:t>
            </w:r>
          </w:p>
        </w:tc>
        <w:tc>
          <w:tcPr>
            <w:tcW w:type="dxa" w:w="4896"/>
            <w:vAlign w:val="center"/>
          </w:tcPr>
          <w:p>
            <w:pPr>
              <w:spacing w:after="40" w:before="40" w:line="240" w:lineRule="auto"/>
            </w:pPr>
            <w:r>
              <w:rPr>
                <w:rFonts w:ascii="Calibri" w:hAnsi="Calibri"/>
                <w:b w:val="0"/>
                <w:sz w:val="20"/>
              </w:rPr>
              <w:t>Paramètres structurels ; aucune modification mensuelle systématique.</w:t>
            </w:r>
          </w:p>
        </w:tc>
      </w:tr>
      <w:tr>
        <w:trPr>
          <w:cantSplit/>
        </w:trPr>
        <w:tc>
          <w:tcPr>
            <w:tcW w:type="dxa" w:w="2952"/>
            <w:vAlign w:val="center"/>
            <w:shd w:fill="F7F7F7"/>
          </w:tcPr>
          <w:p>
            <w:pPr>
              <w:spacing w:after="40" w:before="40" w:line="240" w:lineRule="auto"/>
            </w:pPr>
            <w:r>
              <w:rPr>
                <w:rFonts w:ascii="Calibri" w:hAnsi="Calibri"/>
                <w:b w:val="0"/>
                <w:sz w:val="20"/>
              </w:rPr>
              <w:t>Historique, scores et tableaux</w:t>
            </w:r>
          </w:p>
        </w:tc>
        <w:tc>
          <w:tcPr>
            <w:tcW w:type="dxa" w:w="2376"/>
            <w:vAlign w:val="center"/>
            <w:shd w:fill="F7F7F7"/>
          </w:tcPr>
          <w:p>
            <w:pPr>
              <w:spacing w:after="40" w:before="40" w:line="240" w:lineRule="auto"/>
            </w:pPr>
            <w:r>
              <w:rPr>
                <w:rFonts w:ascii="Calibri" w:hAnsi="Calibri"/>
                <w:b w:val="0"/>
                <w:sz w:val="20"/>
              </w:rPr>
              <w:t>Python</w:t>
            </w:r>
          </w:p>
        </w:tc>
        <w:tc>
          <w:tcPr>
            <w:tcW w:type="dxa" w:w="4896"/>
            <w:vAlign w:val="center"/>
            <w:shd w:fill="F7F7F7"/>
          </w:tcPr>
          <w:p>
            <w:pPr>
              <w:spacing w:after="40" w:before="40" w:line="240" w:lineRule="auto"/>
            </w:pPr>
            <w:r>
              <w:rPr>
                <w:rFonts w:ascii="Calibri" w:hAnsi="Calibri"/>
                <w:b w:val="0"/>
                <w:sz w:val="20"/>
              </w:rPr>
              <w:t>Figer les nouveaux mois, calculer et construire les données de sortie.</w:t>
            </w:r>
          </w:p>
        </w:tc>
      </w:tr>
      <w:tr>
        <w:trPr>
          <w:cantSplit/>
        </w:trPr>
        <w:tc>
          <w:tcPr>
            <w:tcW w:type="dxa" w:w="2952"/>
            <w:vAlign w:val="center"/>
          </w:tcPr>
          <w:p>
            <w:pPr>
              <w:spacing w:after="40" w:before="40" w:line="240" w:lineRule="auto"/>
            </w:pPr>
            <w:r>
              <w:rPr>
                <w:rFonts w:ascii="Calibri" w:hAnsi="Calibri"/>
                <w:b w:val="0"/>
                <w:sz w:val="20"/>
              </w:rPr>
              <w:t>Formats, images liées, graphiques</w:t>
            </w:r>
          </w:p>
        </w:tc>
        <w:tc>
          <w:tcPr>
            <w:tcW w:type="dxa" w:w="2376"/>
            <w:vAlign w:val="center"/>
          </w:tcPr>
          <w:p>
            <w:pPr>
              <w:spacing w:after="40" w:before="40" w:line="240" w:lineRule="auto"/>
            </w:pPr>
            <w:r>
              <w:rPr>
                <w:rFonts w:ascii="Calibri" w:hAnsi="Calibri"/>
                <w:b w:val="0"/>
                <w:sz w:val="20"/>
              </w:rPr>
              <w:t>Python + Excel</w:t>
            </w:r>
          </w:p>
        </w:tc>
        <w:tc>
          <w:tcPr>
            <w:tcW w:type="dxa" w:w="4896"/>
            <w:vAlign w:val="center"/>
          </w:tcPr>
          <w:p>
            <w:pPr>
              <w:spacing w:after="40" w:before="40" w:line="240" w:lineRule="auto"/>
            </w:pPr>
            <w:r>
              <w:rPr>
                <w:rFonts w:ascii="Calibri" w:hAnsi="Calibri"/>
                <w:b w:val="0"/>
                <w:sz w:val="20"/>
              </w:rPr>
              <w:t>Écrire les valeurs, relier les sources et actualiser la présentation.</w:t>
            </w:r>
          </w:p>
        </w:tc>
      </w:tr>
      <w:tr>
        <w:trPr>
          <w:cantSplit/>
        </w:trPr>
        <w:tc>
          <w:tcPr>
            <w:tcW w:type="dxa" w:w="2952"/>
            <w:vAlign w:val="center"/>
            <w:shd w:fill="F7F7F7"/>
          </w:tcPr>
          <w:p>
            <w:pPr>
              <w:spacing w:after="40" w:before="40" w:line="240" w:lineRule="auto"/>
            </w:pPr>
            <w:r>
              <w:rPr>
                <w:rFonts w:ascii="Calibri" w:hAnsi="Calibri"/>
                <w:b w:val="0"/>
                <w:sz w:val="20"/>
              </w:rPr>
              <w:t>Validation / archive du mois</w:t>
            </w:r>
          </w:p>
        </w:tc>
        <w:tc>
          <w:tcPr>
            <w:tcW w:type="dxa" w:w="2376"/>
            <w:vAlign w:val="center"/>
            <w:shd w:fill="F7F7F7"/>
          </w:tcPr>
          <w:p>
            <w:pPr>
              <w:spacing w:after="40" w:before="40" w:line="240" w:lineRule="auto"/>
            </w:pPr>
            <w:r>
              <w:rPr>
                <w:rFonts w:ascii="Calibri" w:hAnsi="Calibri"/>
                <w:b w:val="0"/>
                <w:sz w:val="20"/>
              </w:rPr>
              <w:t>Utilisateur</w:t>
            </w:r>
          </w:p>
        </w:tc>
        <w:tc>
          <w:tcPr>
            <w:tcW w:type="dxa" w:w="4896"/>
            <w:vAlign w:val="center"/>
            <w:shd w:fill="F7F7F7"/>
          </w:tcPr>
          <w:p>
            <w:pPr>
              <w:spacing w:after="40" w:before="40" w:line="240" w:lineRule="auto"/>
            </w:pPr>
            <w:r>
              <w:rPr>
                <w:rFonts w:ascii="Calibri" w:hAnsi="Calibri"/>
                <w:b w:val="0"/>
                <w:sz w:val="20"/>
              </w:rPr>
              <w:t>Contrôler le résultat, conserver la version validée et diffuser.</w:t>
            </w:r>
          </w:p>
        </w:tc>
      </w:tr>
    </w:tbl>
    <w:p>
      <w:pPr>
        <w:spacing w:after="0"/>
      </w:pPr>
      <w:r>
        <w:rPr>
          <w:b w:val="0"/>
        </w:rPr>
      </w:r>
    </w:p>
    <w:p>
      <w:pPr>
        <w:pStyle w:val="Heading2"/>
      </w:pPr>
      <w:r>
        <w:t>data_history.xlsx : première observation conservée</w:t>
      </w:r>
    </w:p>
    <w:p>
      <w:r>
        <w:rPr>
          <w:b w:val="0"/>
        </w:rPr>
        <w:t>La feuille Historique réunit les séries EU et US. La clé est le couple (series_key, date). date est la fin du mois normalisée ; date_source conserve la date reçue. En cas de doublon dans une source, la première ligne du mois est retenue.</w:t>
      </w:r>
    </w:p>
    <w:p>
      <w:r>
        <w:rPr>
          <w:b w:val="0"/>
        </w:rPr>
        <w:t>Un nouveau mois est ajouté si au moins une valeur de sa série est présente. Ensuite, toute la ligne est figée : une révision ou le remplissage ultérieur d’une cellule vide ne remplace pas la première observation. Une ligne entièrement vide n’est pas ajoutée.</w:t>
      </w:r>
    </w:p>
    <w:p>
      <w:r>
        <w:rPr>
          <w:b w:val="0"/>
        </w:rPr>
        <w:t>L’historique est chargé au début du calcul et enregistré après un calcul réussi, seulement s’il a changé. Il est utilisé à la place des révisions ultérieures des sources. Un appel à SectorModel.run(), y compris depuis un notebook, peut ajouter des observations.</w:t>
      </w:r>
    </w:p>
    <w:p>
      <w:pPr>
        <w:pStyle w:val="Heading2"/>
      </w:pPr>
      <w:r>
        <w:t>Reco_histo : archive distincte</w:t>
      </w:r>
    </w:p>
    <w:p>
      <w:r>
        <w:rPr>
          <w:b w:val="0"/>
        </w:rPr>
        <w:t>Cette feuille conserve les recommandations déjà archivées. La mise à jour ajoute seulement les dates de signal strictement postérieures à sa dernière date ; elle ne corrige pas les anciennes lignes et ne comble pas un trou plus ancien.</w:t>
      </w:r>
    </w:p>
    <w:p>
      <w:pPr>
        <w:spacing w:before="100" w:after="0"/>
      </w:pPr>
      <w:r>
        <w:rPr>
          <w:b w:val="0"/>
          <w:color w:val="505050"/>
          <w:sz w:val="18"/>
        </w:rPr>
        <w:t>Source : data_utils.py → freeze_history ; model_secto.py → run ; excel_output.py → append_recommendations.</w:t>
      </w:r>
    </w:p>
    <w:p>
      <w:r>
        <w:br w:type="page"/>
      </w:r>
    </w:p>
    <w:p>
      <w:pPr>
        <w:spacing w:after="40"/>
      </w:pPr>
      <w:r>
        <w:rPr>
          <w:b w:val="0"/>
          <w:color w:val="555555"/>
          <w:sz w:val="18"/>
        </w:rPr>
        <w:t>ORGANISATION</w:t>
      </w:r>
    </w:p>
    <w:p>
      <w:pPr>
        <w:pStyle w:val="Heading1"/>
      </w:pPr>
      <w:r>
        <w:t>6. Rôle de chaque fichier de code</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2880"/>
        <w:gridCol w:w="7344"/>
      </w:tblGrid>
      <w:tr>
        <w:trPr>
          <w:cantSplit/>
          <w:tblHeader/>
        </w:trPr>
        <w:tc>
          <w:tcPr>
            <w:tcW w:type="dxa" w:w="2880"/>
            <w:vAlign w:val="center"/>
            <w:shd w:fill="E8E8E8"/>
          </w:tcPr>
          <w:p>
            <w:pPr>
              <w:spacing w:after="40" w:before="40" w:line="240" w:lineRule="auto"/>
            </w:pPr>
            <w:r>
              <w:rPr>
                <w:rFonts w:ascii="Calibri" w:hAnsi="Calibri"/>
                <w:b/>
                <w:sz w:val="20"/>
              </w:rPr>
              <w:t>Fichier</w:t>
            </w:r>
          </w:p>
        </w:tc>
        <w:tc>
          <w:tcPr>
            <w:tcW w:type="dxa" w:w="7344"/>
            <w:vAlign w:val="center"/>
            <w:shd w:fill="E8E8E8"/>
          </w:tcPr>
          <w:p>
            <w:pPr>
              <w:spacing w:after="40" w:before="40" w:line="240" w:lineRule="auto"/>
            </w:pPr>
            <w:r>
              <w:rPr>
                <w:rFonts w:ascii="Calibri" w:hAnsi="Calibri"/>
                <w:b/>
                <w:sz w:val="20"/>
              </w:rPr>
              <w:t>Rôle et appels principaux</w:t>
            </w:r>
          </w:p>
        </w:tc>
      </w:tr>
      <w:tr>
        <w:trPr>
          <w:cantSplit/>
        </w:trPr>
        <w:tc>
          <w:tcPr>
            <w:tcW w:type="dxa" w:w="2880"/>
            <w:vAlign w:val="center"/>
          </w:tcPr>
          <w:p>
            <w:pPr>
              <w:spacing w:after="40" w:before="40" w:line="240" w:lineRule="auto"/>
            </w:pPr>
            <w:r>
              <w:rPr>
                <w:rFonts w:ascii="Calibri" w:hAnsi="Calibri"/>
                <w:b w:val="0"/>
                <w:sz w:val="20"/>
              </w:rPr>
              <w:t>Actualiser.bat</w:t>
            </w:r>
          </w:p>
        </w:tc>
        <w:tc>
          <w:tcPr>
            <w:tcW w:type="dxa" w:w="7344"/>
            <w:vAlign w:val="center"/>
          </w:tcPr>
          <w:p>
            <w:pPr>
              <w:spacing w:after="40" w:before="40" w:line="240" w:lineRule="auto"/>
            </w:pPr>
            <w:r>
              <w:rPr>
                <w:rFonts w:ascii="Calibri" w:hAnsi="Calibri"/>
                <w:b w:val="0"/>
                <w:sz w:val="20"/>
              </w:rPr>
              <w:t>Lance actualiser_excel.py depuis le dossier du projet ; ouvre les deux fichiers à la fin.</w:t>
            </w:r>
          </w:p>
        </w:tc>
      </w:tr>
      <w:tr>
        <w:trPr>
          <w:cantSplit/>
        </w:trPr>
        <w:tc>
          <w:tcPr>
            <w:tcW w:type="dxa" w:w="2880"/>
            <w:vAlign w:val="center"/>
            <w:shd w:fill="F7F7F7"/>
          </w:tcPr>
          <w:p>
            <w:pPr>
              <w:spacing w:after="40" w:before="40" w:line="240" w:lineRule="auto"/>
            </w:pPr>
            <w:r>
              <w:rPr>
                <w:rFonts w:ascii="Calibri" w:hAnsi="Calibri"/>
                <w:b w:val="0"/>
                <w:sz w:val="20"/>
              </w:rPr>
              <w:t>actualiser_excel.py</w:t>
            </w:r>
          </w:p>
        </w:tc>
        <w:tc>
          <w:tcPr>
            <w:tcW w:type="dxa" w:w="7344"/>
            <w:vAlign w:val="center"/>
            <w:shd w:fill="F7F7F7"/>
          </w:tcPr>
          <w:p>
            <w:pPr>
              <w:spacing w:after="40" w:before="40" w:line="240" w:lineRule="auto"/>
            </w:pPr>
            <w:r>
              <w:rPr>
                <w:rFonts w:ascii="Calibri" w:hAnsi="Calibri"/>
                <w:b w:val="0"/>
                <w:sz w:val="20"/>
              </w:rPr>
              <w:t>Quatre étapes : sauvegarder, calculer EU et US, appeler la mise à jour Excel, puis écrire le bilan.</w:t>
            </w:r>
          </w:p>
        </w:tc>
      </w:tr>
      <w:tr>
        <w:trPr>
          <w:cantSplit/>
        </w:trPr>
        <w:tc>
          <w:tcPr>
            <w:tcW w:type="dxa" w:w="2880"/>
            <w:vAlign w:val="center"/>
          </w:tcPr>
          <w:p>
            <w:pPr>
              <w:spacing w:after="40" w:before="40" w:line="240" w:lineRule="auto"/>
            </w:pPr>
            <w:r>
              <w:rPr>
                <w:rFonts w:ascii="Calibri" w:hAnsi="Calibri"/>
                <w:b w:val="0"/>
                <w:sz w:val="20"/>
              </w:rPr>
              <w:t>model_secto.py</w:t>
            </w:r>
          </w:p>
        </w:tc>
        <w:tc>
          <w:tcPr>
            <w:tcW w:type="dxa" w:w="7344"/>
            <w:vAlign w:val="center"/>
          </w:tcPr>
          <w:p>
            <w:pPr>
              <w:spacing w:after="40" w:before="40" w:line="240" w:lineRule="auto"/>
            </w:pPr>
            <w:r>
              <w:rPr>
                <w:rFonts w:ascii="Calibri" w:hAnsi="Calibri"/>
                <w:b w:val="0"/>
                <w:sz w:val="20"/>
              </w:rPr>
              <w:t>Contient SectorModel et toutes les fonctions de calcul : mesures, sous-scores, piliers, macro, taux, rangs, votes et recommandations.</w:t>
            </w:r>
          </w:p>
        </w:tc>
      </w:tr>
      <w:tr>
        <w:trPr>
          <w:cantSplit/>
        </w:trPr>
        <w:tc>
          <w:tcPr>
            <w:tcW w:type="dxa" w:w="2880"/>
            <w:vAlign w:val="center"/>
            <w:shd w:fill="F7F7F7"/>
          </w:tcPr>
          <w:p>
            <w:pPr>
              <w:spacing w:after="40" w:before="40" w:line="240" w:lineRule="auto"/>
            </w:pPr>
            <w:r>
              <w:rPr>
                <w:rFonts w:ascii="Calibri" w:hAnsi="Calibri"/>
                <w:b w:val="0"/>
                <w:sz w:val="20"/>
              </w:rPr>
              <w:t>data_utils.py</w:t>
            </w:r>
          </w:p>
        </w:tc>
        <w:tc>
          <w:tcPr>
            <w:tcW w:type="dxa" w:w="7344"/>
            <w:vAlign w:val="center"/>
            <w:shd w:fill="F7F7F7"/>
          </w:tcPr>
          <w:p>
            <w:pPr>
              <w:spacing w:after="40" w:before="40" w:line="240" w:lineRule="auto"/>
            </w:pPr>
            <w:r>
              <w:rPr>
                <w:rFonts w:ascii="Calibri" w:hAnsi="Calibri"/>
                <w:b w:val="0"/>
                <w:sz w:val="20"/>
              </w:rPr>
              <w:t>Lit les blocs Excel ; normalise les dates ; fige les séries ; complète la macro en mémoire ; conserve les entrées et les objets Excel.</w:t>
            </w:r>
          </w:p>
        </w:tc>
      </w:tr>
      <w:tr>
        <w:trPr>
          <w:cantSplit/>
        </w:trPr>
        <w:tc>
          <w:tcPr>
            <w:tcW w:type="dxa" w:w="2880"/>
            <w:vAlign w:val="center"/>
          </w:tcPr>
          <w:p>
            <w:pPr>
              <w:spacing w:after="40" w:before="40" w:line="240" w:lineRule="auto"/>
            </w:pPr>
            <w:r>
              <w:rPr>
                <w:rFonts w:ascii="Calibri" w:hAnsi="Calibri"/>
                <w:b w:val="0"/>
                <w:sz w:val="20"/>
              </w:rPr>
              <w:t>local_config.py</w:t>
            </w:r>
          </w:p>
        </w:tc>
        <w:tc>
          <w:tcPr>
            <w:tcW w:type="dxa" w:w="7344"/>
            <w:vAlign w:val="center"/>
          </w:tcPr>
          <w:p>
            <w:pPr>
              <w:spacing w:after="40" w:before="40" w:line="240" w:lineRule="auto"/>
            </w:pPr>
            <w:r>
              <w:rPr>
                <w:rFonts w:ascii="Calibri" w:hAnsi="Calibri"/>
                <w:b w:val="0"/>
                <w:sz w:val="20"/>
              </w:rPr>
              <w:t>Seul fichier de configuration : chemins, secteurs, colonnes, variables, fenêtres, compositions et poids.</w:t>
            </w:r>
          </w:p>
        </w:tc>
      </w:tr>
      <w:tr>
        <w:trPr>
          <w:cantSplit/>
        </w:trPr>
        <w:tc>
          <w:tcPr>
            <w:tcW w:type="dxa" w:w="2880"/>
            <w:vAlign w:val="center"/>
            <w:shd w:fill="F7F7F7"/>
          </w:tcPr>
          <w:p>
            <w:pPr>
              <w:spacing w:after="40" w:before="40" w:line="240" w:lineRule="auto"/>
            </w:pPr>
            <w:r>
              <w:rPr>
                <w:rFonts w:ascii="Calibri" w:hAnsi="Calibri"/>
                <w:b w:val="0"/>
                <w:sz w:val="20"/>
              </w:rPr>
              <w:t>excel_output.py</w:t>
            </w:r>
          </w:p>
        </w:tc>
        <w:tc>
          <w:tcPr>
            <w:tcW w:type="dxa" w:w="7344"/>
            <w:vAlign w:val="center"/>
            <w:shd w:fill="F7F7F7"/>
          </w:tcPr>
          <w:p>
            <w:pPr>
              <w:spacing w:after="40" w:before="40" w:line="240" w:lineRule="auto"/>
            </w:pPr>
            <w:r>
              <w:rPr>
                <w:rFonts w:ascii="Calibri" w:hAnsi="Calibri"/>
                <w:b w:val="0"/>
                <w:sz w:val="20"/>
              </w:rPr>
              <w:t>Construit Output et les performances ; écrit les valeurs dans Excel ; applique les formats et actualise Dashboard et Reco_histo.</w:t>
            </w:r>
          </w:p>
        </w:tc>
      </w:tr>
      <w:tr>
        <w:trPr>
          <w:cantSplit/>
        </w:trPr>
        <w:tc>
          <w:tcPr>
            <w:tcW w:type="dxa" w:w="2880"/>
            <w:vAlign w:val="center"/>
          </w:tcPr>
          <w:p>
            <w:pPr>
              <w:spacing w:after="40" w:before="40" w:line="240" w:lineRule="auto"/>
            </w:pPr>
            <w:r>
              <w:rPr>
                <w:rFonts w:ascii="Calibri" w:hAnsi="Calibri"/>
                <w:b w:val="0"/>
                <w:sz w:val="20"/>
              </w:rPr>
              <w:t>research_secto.py</w:t>
            </w:r>
          </w:p>
        </w:tc>
        <w:tc>
          <w:tcPr>
            <w:tcW w:type="dxa" w:w="7344"/>
            <w:vAlign w:val="center"/>
          </w:tcPr>
          <w:p>
            <w:pPr>
              <w:spacing w:after="40" w:before="40" w:line="240" w:lineRule="auto"/>
            </w:pPr>
            <w:r>
              <w:rPr>
                <w:rFonts w:ascii="Calibri" w:hAnsi="Calibri"/>
                <w:b w:val="0"/>
                <w:sz w:val="20"/>
              </w:rPr>
              <w:t>Analyse des variables et backtests de recherche ; utilisé par les notebooks, hors lancement mensuel.</w:t>
            </w:r>
          </w:p>
        </w:tc>
      </w:tr>
      <w:tr>
        <w:trPr>
          <w:cantSplit/>
        </w:trPr>
        <w:tc>
          <w:tcPr>
            <w:tcW w:type="dxa" w:w="2880"/>
            <w:vAlign w:val="center"/>
            <w:shd w:fill="F7F7F7"/>
          </w:tcPr>
          <w:p>
            <w:pPr>
              <w:spacing w:after="40" w:before="40" w:line="240" w:lineRule="auto"/>
            </w:pPr>
            <w:r>
              <w:rPr>
                <w:rFonts w:ascii="Calibri" w:hAnsi="Calibri"/>
                <w:b w:val="0"/>
                <w:sz w:val="20"/>
              </w:rPr>
              <w:t>Notebooks de recherche et d’audit</w:t>
            </w:r>
          </w:p>
        </w:tc>
        <w:tc>
          <w:tcPr>
            <w:tcW w:type="dxa" w:w="7344"/>
            <w:vAlign w:val="center"/>
            <w:shd w:fill="F7F7F7"/>
          </w:tcPr>
          <w:p>
            <w:pPr>
              <w:spacing w:after="40" w:before="40" w:line="240" w:lineRule="auto"/>
            </w:pPr>
            <w:r>
              <w:rPr>
                <w:rFonts w:ascii="Calibri" w:hAnsi="Calibri"/>
                <w:b w:val="0"/>
                <w:sz w:val="20"/>
              </w:rPr>
              <w:t>Exploration, graphiques et contrôles détaillés. Ils ne sont pas appelés par Actualiser.bat.</w:t>
            </w:r>
          </w:p>
        </w:tc>
      </w:tr>
    </w:tbl>
    <w:p>
      <w:pPr>
        <w:spacing w:after="0"/>
      </w:pPr>
      <w:r>
        <w:rPr>
          <w:b w:val="0"/>
        </w:rPr>
      </w:r>
    </w:p>
    <w:p>
      <w:pPr>
        <w:pStyle w:val="Heading2"/>
      </w:pPr>
      <w:r>
        <w:t>Chemins source</w:t>
      </w:r>
    </w:p>
    <w:p>
      <w:r>
        <w:rPr>
          <w:b w:val="0"/>
        </w:rPr>
        <w:t>Les fichiers source sont, par défaut, à côté du code. Modifier les chemins dans local_config.py. Le même fichier macro fournit les deux marchés. Pour un essai Python ponctuel, SectorModel accepte aussi excel_file et macro_file.</w:t>
      </w:r>
    </w:p>
    <w:p>
      <w:pPr>
        <w:pStyle w:val="Heading2"/>
      </w:pPr>
      <w:r>
        <w:t>Lire model_secto.py dans l’ordre</w:t>
      </w:r>
    </w:p>
    <w:p>
      <w:r>
        <w:rPr>
          <w:b w:val="0"/>
        </w:rPr>
        <w:t>1. Interface SectorModel. 2. Pipeline run_model. 3. Sous-scores et piliers. 4. Macro et taux. 5. Rangs et recommandations. 6. Exports CSV. Cette structure et le flux de données sont rappelés en tête du fichier.</w:t>
      </w:r>
    </w:p>
    <w:p>
      <w:pPr>
        <w:spacing w:before="100" w:after="0"/>
      </w:pPr>
      <w:r>
        <w:rPr>
          <w:b w:val="0"/>
          <w:color w:val="505050"/>
          <w:sz w:val="18"/>
        </w:rPr>
        <w:t>Source : local_config.py ; data_utils.py → open_workbooks ; model_secto.py → __init__, run, run_production.</w:t>
      </w:r>
    </w:p>
    <w:p>
      <w:r>
        <w:br w:type="page"/>
      </w:r>
    </w:p>
    <w:p>
      <w:pPr>
        <w:spacing w:after="40"/>
      </w:pPr>
      <w:r>
        <w:rPr>
          <w:b w:val="0"/>
          <w:color w:val="555555"/>
          <w:sz w:val="18"/>
        </w:rPr>
        <w:t>ORGANISATION</w:t>
      </w:r>
    </w:p>
    <w:p>
      <w:pPr>
        <w:pStyle w:val="Heading1"/>
      </w:pPr>
      <w:r>
        <w:t>7. Feuilles d’entrée et points à confirmer</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3384"/>
        <w:gridCol w:w="6840"/>
      </w:tblGrid>
      <w:tr>
        <w:trPr>
          <w:cantSplit/>
          <w:tblHeader/>
        </w:trPr>
        <w:tc>
          <w:tcPr>
            <w:tcW w:type="dxa" w:w="3384"/>
            <w:vAlign w:val="center"/>
            <w:shd w:fill="E8E8E8"/>
          </w:tcPr>
          <w:p>
            <w:pPr>
              <w:spacing w:after="40" w:before="40" w:line="240" w:lineRule="auto"/>
            </w:pPr>
            <w:r>
              <w:rPr>
                <w:rFonts w:ascii="Calibri" w:hAnsi="Calibri"/>
                <w:b/>
                <w:sz w:val="20"/>
              </w:rPr>
              <w:t>Source</w:t>
            </w:r>
          </w:p>
        </w:tc>
        <w:tc>
          <w:tcPr>
            <w:tcW w:type="dxa" w:w="6840"/>
            <w:vAlign w:val="center"/>
            <w:shd w:fill="E8E8E8"/>
          </w:tcPr>
          <w:p>
            <w:pPr>
              <w:spacing w:after="40" w:before="40" w:line="240" w:lineRule="auto"/>
            </w:pPr>
            <w:r>
              <w:rPr>
                <w:rFonts w:ascii="Calibri" w:hAnsi="Calibri"/>
                <w:b/>
                <w:sz w:val="20"/>
              </w:rPr>
              <w:t>Données lues par Python</w:t>
            </w:r>
          </w:p>
        </w:tc>
      </w:tr>
      <w:tr>
        <w:trPr>
          <w:cantSplit/>
        </w:trPr>
        <w:tc>
          <w:tcPr>
            <w:tcW w:type="dxa" w:w="3384"/>
            <w:vAlign w:val="center"/>
          </w:tcPr>
          <w:p>
            <w:pPr>
              <w:spacing w:after="40" w:before="40" w:line="240" w:lineRule="auto"/>
            </w:pPr>
            <w:r>
              <w:rPr>
                <w:rFonts w:ascii="Calibri" w:hAnsi="Calibri"/>
                <w:b w:val="0"/>
                <w:sz w:val="20"/>
              </w:rPr>
              <w:t>Config / local_config.py</w:t>
            </w:r>
          </w:p>
        </w:tc>
        <w:tc>
          <w:tcPr>
            <w:tcW w:type="dxa" w:w="6840"/>
            <w:vAlign w:val="center"/>
          </w:tcPr>
          <w:p>
            <w:pPr>
              <w:spacing w:after="40" w:before="40" w:line="240" w:lineRule="auto"/>
            </w:pPr>
            <w:r>
              <w:rPr>
                <w:rFonts w:ascii="Calibri" w:hAnsi="Calibri"/>
                <w:b w:val="0"/>
                <w:sz w:val="20"/>
              </w:rPr>
              <w:t>L’ordre des secteurs doit rester cohérent. Les blocs sont lus par position, avec les colonnes définies dans local_config.py.</w:t>
            </w:r>
          </w:p>
        </w:tc>
      </w:tr>
      <w:tr>
        <w:trPr>
          <w:cantSplit/>
        </w:trPr>
        <w:tc>
          <w:tcPr>
            <w:tcW w:type="dxa" w:w="3384"/>
            <w:vAlign w:val="center"/>
            <w:shd w:fill="F7F7F7"/>
          </w:tcPr>
          <w:p>
            <w:pPr>
              <w:spacing w:after="40" w:before="40" w:line="240" w:lineRule="auto"/>
            </w:pPr>
            <w:r>
              <w:rPr>
                <w:rFonts w:ascii="Calibri" w:hAnsi="Calibri"/>
                <w:b w:val="0"/>
                <w:sz w:val="20"/>
              </w:rPr>
              <w:t>Leverage_FMA, Margin_FMA,</w:t>
              <w:br/>
              <w:t>Valuation_FMA_hist, Growth_FMA</w:t>
            </w:r>
          </w:p>
        </w:tc>
        <w:tc>
          <w:tcPr>
            <w:tcW w:type="dxa" w:w="6840"/>
            <w:vAlign w:val="center"/>
            <w:shd w:fill="F7F7F7"/>
          </w:tcPr>
          <w:p>
            <w:pPr>
              <w:spacing w:after="40" w:before="40" w:line="240" w:lineRule="auto"/>
            </w:pPr>
            <w:r>
              <w:rPr>
                <w:rFonts w:ascii="Calibri" w:hAnsi="Calibri"/>
                <w:b w:val="0"/>
                <w:sz w:val="20"/>
              </w:rPr>
              <w:t>Dates en A, données à partir de la ligne 8. La première colonne de chaque bloc est donnée pages 15–16 ; les secteurs suivent dans l’ordre configuré.</w:t>
            </w:r>
          </w:p>
        </w:tc>
      </w:tr>
      <w:tr>
        <w:trPr>
          <w:cantSplit/>
        </w:trPr>
        <w:tc>
          <w:tcPr>
            <w:tcW w:type="dxa" w:w="3384"/>
            <w:vAlign w:val="center"/>
          </w:tcPr>
          <w:p>
            <w:pPr>
              <w:spacing w:after="40" w:before="40" w:line="240" w:lineRule="auto"/>
            </w:pPr>
            <w:r>
              <w:rPr>
                <w:rFonts w:ascii="Calibri" w:hAnsi="Calibri"/>
                <w:b w:val="0"/>
                <w:sz w:val="20"/>
              </w:rPr>
              <w:t>MOM_FMA</w:t>
            </w:r>
          </w:p>
        </w:tc>
        <w:tc>
          <w:tcPr>
            <w:tcW w:type="dxa" w:w="6840"/>
            <w:vAlign w:val="center"/>
          </w:tcPr>
          <w:p>
            <w:pPr>
              <w:spacing w:after="40" w:before="40" w:line="240" w:lineRule="auto"/>
            </w:pPr>
            <w:r>
              <w:rPr>
                <w:rFonts w:ascii="Calibri" w:hAnsi="Calibri"/>
                <w:b w:val="0"/>
                <w:sz w:val="20"/>
              </w:rPr>
              <w:t>Prix et nombres de révisions. Colonnes détaillées page 18 ; mêmes secteurs et dates mensuelles.</w:t>
            </w:r>
          </w:p>
        </w:tc>
      </w:tr>
      <w:tr>
        <w:trPr>
          <w:cantSplit/>
        </w:trPr>
        <w:tc>
          <w:tcPr>
            <w:tcW w:type="dxa" w:w="3384"/>
            <w:vAlign w:val="center"/>
            <w:shd w:fill="F7F7F7"/>
          </w:tcPr>
          <w:p>
            <w:pPr>
              <w:spacing w:after="40" w:before="40" w:line="240" w:lineRule="auto"/>
            </w:pPr>
            <w:r>
              <w:rPr>
                <w:rFonts w:ascii="Calibri" w:hAnsi="Calibri"/>
                <w:b w:val="0"/>
                <w:sz w:val="20"/>
              </w:rPr>
              <w:t>Returns_EQ</w:t>
            </w:r>
          </w:p>
        </w:tc>
        <w:tc>
          <w:tcPr>
            <w:tcW w:type="dxa" w:w="6840"/>
            <w:vAlign w:val="center"/>
            <w:shd w:fill="F7F7F7"/>
          </w:tcPr>
          <w:p>
            <w:pPr>
              <w:spacing w:after="40" w:before="40" w:line="240" w:lineRule="auto"/>
            </w:pPr>
            <w:r>
              <w:rPr>
                <w:rFonts w:ascii="Calibri" w:hAnsi="Calibri"/>
                <w:b w:val="0"/>
                <w:sz w:val="20"/>
              </w:rPr>
              <w:t>À partir de la ligne 7 : dates A, indice benchmark B, indices sectoriels C et suivantes. Python calcule les rendements à partir des indices.</w:t>
            </w:r>
          </w:p>
        </w:tc>
      </w:tr>
      <w:tr>
        <w:trPr>
          <w:cantSplit/>
        </w:trPr>
        <w:tc>
          <w:tcPr>
            <w:tcW w:type="dxa" w:w="3384"/>
            <w:vAlign w:val="center"/>
          </w:tcPr>
          <w:p>
            <w:pPr>
              <w:spacing w:after="40" w:before="40" w:line="240" w:lineRule="auto"/>
            </w:pPr>
            <w:r>
              <w:rPr>
                <w:rFonts w:ascii="Calibri" w:hAnsi="Calibri"/>
                <w:b w:val="0"/>
                <w:sz w:val="20"/>
              </w:rPr>
              <w:t>Bench</w:t>
            </w:r>
          </w:p>
        </w:tc>
        <w:tc>
          <w:tcPr>
            <w:tcW w:type="dxa" w:w="6840"/>
            <w:vAlign w:val="center"/>
          </w:tcPr>
          <w:p>
            <w:pPr>
              <w:spacing w:after="40" w:before="40" w:line="240" w:lineRule="auto"/>
            </w:pPr>
            <w:r>
              <w:rPr>
                <w:rFonts w:ascii="Calibri" w:hAnsi="Calibri"/>
                <w:b w:val="0"/>
                <w:sz w:val="20"/>
              </w:rPr>
              <w:t>Dates A et poids sectoriels B et suivantes. Table de valeurs, sans formule de collecte. Les nouveaux poids sont à fournir manuellement.</w:t>
            </w:r>
          </w:p>
        </w:tc>
      </w:tr>
      <w:tr>
        <w:trPr>
          <w:cantSplit/>
        </w:trPr>
        <w:tc>
          <w:tcPr>
            <w:tcW w:type="dxa" w:w="3384"/>
            <w:vAlign w:val="center"/>
            <w:shd w:fill="F7F7F7"/>
          </w:tcPr>
          <w:p>
            <w:pPr>
              <w:spacing w:after="40" w:before="40" w:line="240" w:lineRule="auto"/>
            </w:pPr>
            <w:r>
              <w:rPr>
                <w:rFonts w:ascii="Calibri" w:hAnsi="Calibri"/>
                <w:b w:val="0"/>
                <w:sz w:val="20"/>
              </w:rPr>
              <w:t>Cycle macro, dans chaque XLSM</w:t>
            </w:r>
          </w:p>
        </w:tc>
        <w:tc>
          <w:tcPr>
            <w:tcW w:type="dxa" w:w="6840"/>
            <w:vAlign w:val="center"/>
            <w:shd w:fill="F7F7F7"/>
          </w:tcPr>
          <w:p>
            <w:pPr>
              <w:spacing w:after="40" w:before="40" w:line="240" w:lineRule="auto"/>
            </w:pPr>
            <w:r>
              <w:rPr>
                <w:rFonts w:ascii="Calibri" w:hAnsi="Calibri"/>
                <w:b w:val="0"/>
                <w:sz w:val="20"/>
              </w:rPr>
              <w:t>Taux US 10 ans : dates A, valeurs R pour EU et U pour US, à partir de la ligne 4.</w:t>
            </w:r>
          </w:p>
        </w:tc>
      </w:tr>
      <w:tr>
        <w:trPr>
          <w:cantSplit/>
        </w:trPr>
        <w:tc>
          <w:tcPr>
            <w:tcW w:type="dxa" w:w="3384"/>
            <w:vAlign w:val="center"/>
          </w:tcPr>
          <w:p>
            <w:pPr>
              <w:spacing w:after="40" w:before="40" w:line="240" w:lineRule="auto"/>
            </w:pPr>
            <w:r>
              <w:rPr>
                <w:rFonts w:ascii="Calibri" w:hAnsi="Calibri"/>
                <w:b w:val="0"/>
                <w:sz w:val="20"/>
              </w:rPr>
              <w:t>maj cycle macro2.xlsx</w:t>
            </w:r>
          </w:p>
        </w:tc>
        <w:tc>
          <w:tcPr>
            <w:tcW w:type="dxa" w:w="6840"/>
            <w:vAlign w:val="center"/>
          </w:tcPr>
          <w:p>
            <w:pPr>
              <w:spacing w:after="40" w:before="40" w:line="240" w:lineRule="auto"/>
            </w:pPr>
            <w:r>
              <w:rPr>
                <w:rFonts w:ascii="Calibri" w:hAnsi="Calibri"/>
                <w:b w:val="0"/>
                <w:sz w:val="20"/>
              </w:rPr>
              <w:t>Europe : dates A, score R, cycle V. US : dates A, score Y, cycle Z. Lecture à partir de la ligne 4.</w:t>
            </w:r>
          </w:p>
        </w:tc>
      </w:tr>
    </w:tbl>
    <w:p>
      <w:pPr>
        <w:spacing w:after="0"/>
      </w:pPr>
      <w:r>
        <w:rPr>
          <w:b w:val="0"/>
        </w:rPr>
      </w:r>
    </w:p>
    <w:p>
      <w:pPr>
        <w:pStyle w:val="Heading2"/>
      </w:pPr>
      <w:r>
        <w:t>Benchmark : les sources actuelles ne portent pas le même nom</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792"/>
        <w:gridCol w:w="4968"/>
        <w:gridCol w:w="4464"/>
      </w:tblGrid>
      <w:tr>
        <w:trPr>
          <w:cantSplit/>
          <w:tblHeader/>
        </w:trPr>
        <w:tc>
          <w:tcPr>
            <w:tcW w:type="dxa" w:w="792"/>
            <w:vAlign w:val="center"/>
            <w:shd w:fill="E8E8E8"/>
          </w:tcPr>
          <w:p>
            <w:pPr>
              <w:spacing w:after="40" w:before="40" w:line="240" w:lineRule="auto"/>
            </w:pPr>
            <w:r>
              <w:rPr>
                <w:rFonts w:ascii="Calibri" w:hAnsi="Calibri"/>
                <w:b/>
                <w:sz w:val="19"/>
              </w:rPr>
              <w:t>Marché</w:t>
            </w:r>
          </w:p>
        </w:tc>
        <w:tc>
          <w:tcPr>
            <w:tcW w:type="dxa" w:w="4968"/>
            <w:vAlign w:val="center"/>
            <w:shd w:fill="E8E8E8"/>
          </w:tcPr>
          <w:p>
            <w:pPr>
              <w:spacing w:after="40" w:before="40" w:line="240" w:lineRule="auto"/>
            </w:pPr>
            <w:r>
              <w:rPr>
                <w:rFonts w:ascii="Calibri" w:hAnsi="Calibri"/>
                <w:b/>
                <w:sz w:val="19"/>
              </w:rPr>
              <w:t>Rendements : Returns_EQ</w:t>
            </w:r>
          </w:p>
        </w:tc>
        <w:tc>
          <w:tcPr>
            <w:tcW w:type="dxa" w:w="4464"/>
            <w:vAlign w:val="center"/>
            <w:shd w:fill="E8E8E8"/>
          </w:tcPr>
          <w:p>
            <w:pPr>
              <w:spacing w:after="40" w:before="40" w:line="240" w:lineRule="auto"/>
            </w:pPr>
            <w:r>
              <w:rPr>
                <w:rFonts w:ascii="Calibri" w:hAnsi="Calibri"/>
                <w:b/>
                <w:sz w:val="19"/>
              </w:rPr>
              <w:t>Poids et libellés</w:t>
            </w:r>
          </w:p>
        </w:tc>
      </w:tr>
      <w:tr>
        <w:trPr>
          <w:cantSplit/>
        </w:trPr>
        <w:tc>
          <w:tcPr>
            <w:tcW w:type="dxa" w:w="792"/>
            <w:vAlign w:val="center"/>
          </w:tcPr>
          <w:p>
            <w:pPr>
              <w:spacing w:after="40" w:before="40" w:line="240" w:lineRule="auto"/>
            </w:pPr>
            <w:r>
              <w:rPr>
                <w:rFonts w:ascii="Calibri" w:hAnsi="Calibri"/>
                <w:b w:val="0"/>
                <w:sz w:val="19"/>
              </w:rPr>
              <w:t>EU</w:t>
            </w:r>
          </w:p>
        </w:tc>
        <w:tc>
          <w:tcPr>
            <w:tcW w:type="dxa" w:w="4968"/>
            <w:vAlign w:val="center"/>
          </w:tcPr>
          <w:p>
            <w:pPr>
              <w:spacing w:after="40" w:before="40" w:line="240" w:lineRule="auto"/>
            </w:pPr>
            <w:r>
              <w:rPr>
                <w:rFonts w:ascii="Calibri" w:hAnsi="Calibri"/>
                <w:b w:val="0"/>
                <w:sz w:val="19"/>
              </w:rPr>
              <w:t>B4 = 181085 ; B5 = FTSE World Europe. B7 utilise FDS / FG_TOTAL_RET_IDX en EUR.</w:t>
            </w:r>
          </w:p>
        </w:tc>
        <w:tc>
          <w:tcPr>
            <w:tcW w:type="dxa" w:w="4464"/>
            <w:vAlign w:val="center"/>
          </w:tcPr>
          <w:p>
            <w:pPr>
              <w:spacing w:after="40" w:before="40" w:line="240" w:lineRule="auto"/>
            </w:pPr>
            <w:r>
              <w:rPr>
                <w:rFonts w:ascii="Calibri" w:hAnsi="Calibri"/>
                <w:b w:val="0"/>
                <w:sz w:val="19"/>
              </w:rPr>
              <w:t>Bench!A1 = MSCI_ACWI_Europe. Le graphique indique FTSE World Europe.</w:t>
            </w:r>
          </w:p>
        </w:tc>
      </w:tr>
      <w:tr>
        <w:trPr>
          <w:cantSplit/>
        </w:trPr>
        <w:tc>
          <w:tcPr>
            <w:tcW w:type="dxa" w:w="792"/>
            <w:vAlign w:val="center"/>
            <w:shd w:fill="F7F7F7"/>
          </w:tcPr>
          <w:p>
            <w:pPr>
              <w:spacing w:after="40" w:before="40" w:line="240" w:lineRule="auto"/>
            </w:pPr>
            <w:r>
              <w:rPr>
                <w:rFonts w:ascii="Calibri" w:hAnsi="Calibri"/>
                <w:b w:val="0"/>
                <w:sz w:val="19"/>
              </w:rPr>
              <w:t>US</w:t>
            </w:r>
          </w:p>
        </w:tc>
        <w:tc>
          <w:tcPr>
            <w:tcW w:type="dxa" w:w="4968"/>
            <w:vAlign w:val="center"/>
            <w:shd w:fill="F7F7F7"/>
          </w:tcPr>
          <w:p>
            <w:pPr>
              <w:spacing w:after="40" w:before="40" w:line="240" w:lineRule="auto"/>
            </w:pPr>
            <w:r>
              <w:rPr>
                <w:rFonts w:ascii="Calibri" w:hAnsi="Calibri"/>
                <w:b w:val="0"/>
                <w:sz w:val="19"/>
              </w:rPr>
              <w:t>B5 = WIUSAU Index ; B6 = PX_LAST. B7 utilise BDH sur B5. SP50 en B4 sert notamment à la série de dates.</w:t>
            </w:r>
          </w:p>
        </w:tc>
        <w:tc>
          <w:tcPr>
            <w:tcW w:type="dxa" w:w="4464"/>
            <w:vAlign w:val="center"/>
            <w:shd w:fill="F7F7F7"/>
          </w:tcPr>
          <w:p>
            <w:pPr>
              <w:spacing w:after="40" w:before="40" w:line="240" w:lineRule="auto"/>
            </w:pPr>
            <w:r>
              <w:rPr>
                <w:rFonts w:ascii="Calibri" w:hAnsi="Calibri"/>
                <w:b w:val="0"/>
                <w:sz w:val="19"/>
              </w:rPr>
              <w:t>Bench!A1 = SP500_bench. Le titre de sortie utilise CumRet_S&amp;P500.</w:t>
            </w:r>
          </w:p>
        </w:tc>
      </w:tr>
    </w:tbl>
    <w:p>
      <w:pPr>
        <w:spacing w:after="0"/>
      </w:pPr>
      <w:r>
        <w:rPr>
          <w:b w:val="0"/>
        </w:rPr>
      </w:r>
    </w:p>
    <w:p>
      <w:r>
        <w:rPr>
          <w:b w:val="0"/>
        </w:rPr>
        <w:t>Faire confirmer le benchmark voulu et la compatibilité de ses poids avant diffusion. Le code ne prouve pas cette équivalence et ne remplace pas automatiquement les identifiants. Les titres seuls ne permettent pas d’identifier la série calculée.</w:t>
      </w:r>
    </w:p>
    <w:p>
      <w:pPr>
        <w:spacing w:before="100" w:after="0"/>
      </w:pPr>
      <w:r>
        <w:rPr>
          <w:b w:val="0"/>
          <w:color w:val="505050"/>
          <w:sz w:val="18"/>
        </w:rPr>
        <w:t>Source : Cellules indiquées des deux XLSM ; local_config.py ; data_utils.py → read_return_indices, read_us10y.</w:t>
      </w:r>
    </w:p>
    <w:p>
      <w:r>
        <w:br w:type="page"/>
      </w:r>
    </w:p>
    <w:p>
      <w:pPr>
        <w:spacing w:after="40"/>
      </w:pPr>
      <w:r>
        <w:rPr>
          <w:b w:val="0"/>
          <w:color w:val="555555"/>
          <w:sz w:val="18"/>
        </w:rPr>
        <w:t>ORGANISATION</w:t>
      </w:r>
    </w:p>
    <w:p>
      <w:pPr>
        <w:pStyle w:val="Heading1"/>
      </w:pPr>
      <w:r>
        <w:t>8. Où sont les tableaux dans Output ?</w:t>
      </w:r>
    </w:p>
    <w:p>
      <w:r>
        <w:rPr>
          <w:b w:val="0"/>
        </w:rPr>
        <w:t>Output contient des valeurs produites par Python. Les adresses ci-dessous correspondent à la configuration actuelle, avec 13 secteurs EU et 12 secteurs US. output_layout recalcule les lignes des blocs selon le nombre de secteurs et de variables.</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4536"/>
        <w:gridCol w:w="2844"/>
        <w:gridCol w:w="2844"/>
      </w:tblGrid>
      <w:tr>
        <w:trPr>
          <w:cantSplit/>
          <w:tblHeader/>
        </w:trPr>
        <w:tc>
          <w:tcPr>
            <w:tcW w:type="dxa" w:w="4536"/>
            <w:vAlign w:val="center"/>
            <w:shd w:fill="E8E8E8"/>
          </w:tcPr>
          <w:p>
            <w:pPr>
              <w:spacing w:after="40" w:before="40" w:line="240" w:lineRule="auto"/>
            </w:pPr>
            <w:r>
              <w:rPr>
                <w:rFonts w:ascii="Calibri" w:hAnsi="Calibri"/>
                <w:b/>
                <w:sz w:val="20"/>
              </w:rPr>
              <w:t>Bloc</w:t>
            </w:r>
          </w:p>
        </w:tc>
        <w:tc>
          <w:tcPr>
            <w:tcW w:type="dxa" w:w="2844"/>
            <w:vAlign w:val="center"/>
            <w:shd w:fill="E8E8E8"/>
          </w:tcPr>
          <w:p>
            <w:pPr>
              <w:spacing w:after="40" w:before="40" w:line="240" w:lineRule="auto"/>
            </w:pPr>
            <w:r>
              <w:rPr>
                <w:rFonts w:ascii="Calibri" w:hAnsi="Calibri"/>
                <w:b/>
                <w:sz w:val="20"/>
              </w:rPr>
              <w:t>EU</w:t>
            </w:r>
          </w:p>
        </w:tc>
        <w:tc>
          <w:tcPr>
            <w:tcW w:type="dxa" w:w="2844"/>
            <w:vAlign w:val="center"/>
            <w:shd w:fill="E8E8E8"/>
          </w:tcPr>
          <w:p>
            <w:pPr>
              <w:spacing w:after="40" w:before="40" w:line="240" w:lineRule="auto"/>
            </w:pPr>
            <w:r>
              <w:rPr>
                <w:rFonts w:ascii="Calibri" w:hAnsi="Calibri"/>
                <w:b/>
                <w:sz w:val="20"/>
              </w:rPr>
              <w:t>US</w:t>
            </w:r>
          </w:p>
        </w:tc>
      </w:tr>
      <w:tr>
        <w:trPr>
          <w:cantSplit/>
        </w:trPr>
        <w:tc>
          <w:tcPr>
            <w:tcW w:type="dxa" w:w="4536"/>
            <w:vAlign w:val="center"/>
          </w:tcPr>
          <w:p>
            <w:pPr>
              <w:spacing w:after="40" w:before="40" w:line="240" w:lineRule="auto"/>
            </w:pPr>
            <w:r>
              <w:rPr>
                <w:rFonts w:ascii="Calibri" w:hAnsi="Calibri"/>
                <w:b w:val="0"/>
                <w:sz w:val="20"/>
              </w:rPr>
              <w:t>Dates et contexte</w:t>
            </w:r>
          </w:p>
        </w:tc>
        <w:tc>
          <w:tcPr>
            <w:tcW w:type="dxa" w:w="2844"/>
            <w:vAlign w:val="center"/>
          </w:tcPr>
          <w:p>
            <w:pPr>
              <w:spacing w:after="40" w:before="40" w:line="240" w:lineRule="auto"/>
            </w:pPr>
            <w:r>
              <w:rPr>
                <w:rFonts w:ascii="Calibri" w:hAnsi="Calibri"/>
                <w:b w:val="0"/>
                <w:sz w:val="20"/>
              </w:rPr>
              <w:t>A1:B19</w:t>
            </w:r>
          </w:p>
        </w:tc>
        <w:tc>
          <w:tcPr>
            <w:tcW w:type="dxa" w:w="2844"/>
            <w:vAlign w:val="center"/>
          </w:tcPr>
          <w:p>
            <w:pPr>
              <w:spacing w:after="40" w:before="40" w:line="240" w:lineRule="auto"/>
            </w:pPr>
            <w:r>
              <w:rPr>
                <w:rFonts w:ascii="Calibri" w:hAnsi="Calibri"/>
                <w:b w:val="0"/>
                <w:sz w:val="20"/>
              </w:rPr>
              <w:t>A1:B19</w:t>
            </w:r>
          </w:p>
        </w:tc>
      </w:tr>
      <w:tr>
        <w:trPr>
          <w:cantSplit/>
        </w:trPr>
        <w:tc>
          <w:tcPr>
            <w:tcW w:type="dxa" w:w="4536"/>
            <w:vAlign w:val="center"/>
            <w:shd w:fill="F7F7F7"/>
          </w:tcPr>
          <w:p>
            <w:pPr>
              <w:spacing w:after="40" w:before="40" w:line="240" w:lineRule="auto"/>
            </w:pPr>
            <w:r>
              <w:rPr>
                <w:rFonts w:ascii="Calibri" w:hAnsi="Calibri"/>
                <w:b w:val="0"/>
                <w:sz w:val="20"/>
              </w:rPr>
              <w:t>Scores et mesures du mois</w:t>
            </w:r>
          </w:p>
        </w:tc>
        <w:tc>
          <w:tcPr>
            <w:tcW w:type="dxa" w:w="2844"/>
            <w:vAlign w:val="center"/>
            <w:shd w:fill="F7F7F7"/>
          </w:tcPr>
          <w:p>
            <w:pPr>
              <w:spacing w:after="40" w:before="40" w:line="240" w:lineRule="auto"/>
            </w:pPr>
            <w:r>
              <w:rPr>
                <w:rFonts w:ascii="Calibri" w:hAnsi="Calibri"/>
                <w:b w:val="0"/>
                <w:sz w:val="20"/>
              </w:rPr>
              <w:t>D1:BV14</w:t>
            </w:r>
          </w:p>
        </w:tc>
        <w:tc>
          <w:tcPr>
            <w:tcW w:type="dxa" w:w="2844"/>
            <w:vAlign w:val="center"/>
            <w:shd w:fill="F7F7F7"/>
          </w:tcPr>
          <w:p>
            <w:pPr>
              <w:spacing w:after="40" w:before="40" w:line="240" w:lineRule="auto"/>
            </w:pPr>
            <w:r>
              <w:rPr>
                <w:rFonts w:ascii="Calibri" w:hAnsi="Calibri"/>
                <w:b w:val="0"/>
                <w:sz w:val="20"/>
              </w:rPr>
              <w:t>D1:BV13</w:t>
            </w:r>
          </w:p>
        </w:tc>
      </w:tr>
      <w:tr>
        <w:trPr>
          <w:cantSplit/>
        </w:trPr>
        <w:tc>
          <w:tcPr>
            <w:tcW w:type="dxa" w:w="4536"/>
            <w:vAlign w:val="center"/>
          </w:tcPr>
          <w:p>
            <w:pPr>
              <w:spacing w:after="40" w:before="40" w:line="240" w:lineRule="auto"/>
            </w:pPr>
            <w:r>
              <w:rPr>
                <w:rFonts w:ascii="Calibri" w:hAnsi="Calibri"/>
                <w:b w:val="0"/>
                <w:sz w:val="20"/>
              </w:rPr>
              <w:t>15 mois de recommandations</w:t>
            </w:r>
          </w:p>
        </w:tc>
        <w:tc>
          <w:tcPr>
            <w:tcW w:type="dxa" w:w="2844"/>
            <w:vAlign w:val="center"/>
          </w:tcPr>
          <w:p>
            <w:pPr>
              <w:spacing w:after="40" w:before="40" w:line="240" w:lineRule="auto"/>
            </w:pPr>
            <w:r>
              <w:rPr>
                <w:rFonts w:ascii="Calibri" w:hAnsi="Calibri"/>
                <w:b w:val="0"/>
                <w:sz w:val="20"/>
              </w:rPr>
              <w:t>D22:S35</w:t>
            </w:r>
          </w:p>
        </w:tc>
        <w:tc>
          <w:tcPr>
            <w:tcW w:type="dxa" w:w="2844"/>
            <w:vAlign w:val="center"/>
          </w:tcPr>
          <w:p>
            <w:pPr>
              <w:spacing w:after="40" w:before="40" w:line="240" w:lineRule="auto"/>
            </w:pPr>
            <w:r>
              <w:rPr>
                <w:rFonts w:ascii="Calibri" w:hAnsi="Calibri"/>
                <w:b w:val="0"/>
                <w:sz w:val="20"/>
              </w:rPr>
              <w:t>D22:S34</w:t>
            </w:r>
          </w:p>
        </w:tc>
      </w:tr>
      <w:tr>
        <w:trPr>
          <w:cantSplit/>
        </w:trPr>
        <w:tc>
          <w:tcPr>
            <w:tcW w:type="dxa" w:w="4536"/>
            <w:vAlign w:val="center"/>
            <w:shd w:fill="F7F7F7"/>
          </w:tcPr>
          <w:p>
            <w:pPr>
              <w:spacing w:after="40" w:before="40" w:line="240" w:lineRule="auto"/>
            </w:pPr>
            <w:r>
              <w:rPr>
                <w:rFonts w:ascii="Calibri" w:hAnsi="Calibri"/>
                <w:b w:val="0"/>
                <w:sz w:val="20"/>
              </w:rPr>
              <w:t>Performances sectorielles</w:t>
            </w:r>
          </w:p>
        </w:tc>
        <w:tc>
          <w:tcPr>
            <w:tcW w:type="dxa" w:w="2844"/>
            <w:vAlign w:val="center"/>
            <w:shd w:fill="F7F7F7"/>
          </w:tcPr>
          <w:p>
            <w:pPr>
              <w:spacing w:after="40" w:before="40" w:line="240" w:lineRule="auto"/>
            </w:pPr>
            <w:r>
              <w:rPr>
                <w:rFonts w:ascii="Calibri" w:hAnsi="Calibri"/>
                <w:b w:val="0"/>
                <w:sz w:val="20"/>
              </w:rPr>
              <w:t>V22:AI29</w:t>
            </w:r>
          </w:p>
        </w:tc>
        <w:tc>
          <w:tcPr>
            <w:tcW w:type="dxa" w:w="2844"/>
            <w:vAlign w:val="center"/>
            <w:shd w:fill="F7F7F7"/>
          </w:tcPr>
          <w:p>
            <w:pPr>
              <w:spacing w:after="40" w:before="40" w:line="240" w:lineRule="auto"/>
            </w:pPr>
            <w:r>
              <w:rPr>
                <w:rFonts w:ascii="Calibri" w:hAnsi="Calibri"/>
                <w:b w:val="0"/>
                <w:sz w:val="20"/>
              </w:rPr>
              <w:t>V22:AH29</w:t>
            </w:r>
          </w:p>
        </w:tc>
      </w:tr>
      <w:tr>
        <w:trPr>
          <w:cantSplit/>
        </w:trPr>
        <w:tc>
          <w:tcPr>
            <w:tcW w:type="dxa" w:w="4536"/>
            <w:vAlign w:val="center"/>
          </w:tcPr>
          <w:p>
            <w:pPr>
              <w:spacing w:after="40" w:before="40" w:line="240" w:lineRule="auto"/>
            </w:pPr>
            <w:r>
              <w:rPr>
                <w:rFonts w:ascii="Calibri" w:hAnsi="Calibri"/>
                <w:b w:val="0"/>
                <w:sz w:val="20"/>
              </w:rPr>
              <w:t>Mini-historiques, en-tête compris</w:t>
            </w:r>
          </w:p>
        </w:tc>
        <w:tc>
          <w:tcPr>
            <w:tcW w:type="dxa" w:w="2844"/>
            <w:vAlign w:val="center"/>
          </w:tcPr>
          <w:p>
            <w:pPr>
              <w:spacing w:after="40" w:before="40" w:line="240" w:lineRule="auto"/>
            </w:pPr>
            <w:r>
              <w:rPr>
                <w:rFonts w:ascii="Calibri" w:hAnsi="Calibri"/>
                <w:b w:val="0"/>
                <w:sz w:val="20"/>
              </w:rPr>
              <w:t>D38:BM207</w:t>
            </w:r>
          </w:p>
        </w:tc>
        <w:tc>
          <w:tcPr>
            <w:tcW w:type="dxa" w:w="2844"/>
            <w:vAlign w:val="center"/>
          </w:tcPr>
          <w:p>
            <w:pPr>
              <w:spacing w:after="40" w:before="40" w:line="240" w:lineRule="auto"/>
            </w:pPr>
            <w:r>
              <w:rPr>
                <w:rFonts w:ascii="Calibri" w:hAnsi="Calibri"/>
                <w:b w:val="0"/>
                <w:sz w:val="20"/>
              </w:rPr>
              <w:t>D37:BM193</w:t>
            </w:r>
          </w:p>
        </w:tc>
      </w:tr>
      <w:tr>
        <w:trPr>
          <w:cantSplit/>
        </w:trPr>
        <w:tc>
          <w:tcPr>
            <w:tcW w:type="dxa" w:w="4536"/>
            <w:vAlign w:val="center"/>
            <w:shd w:fill="F7F7F7"/>
          </w:tcPr>
          <w:p>
            <w:pPr>
              <w:spacing w:after="40" w:before="40" w:line="240" w:lineRule="auto"/>
            </w:pPr>
            <w:r>
              <w:rPr>
                <w:rFonts w:ascii="Calibri" w:hAnsi="Calibri"/>
                <w:b w:val="0"/>
                <w:sz w:val="20"/>
              </w:rPr>
              <w:t>Détails longs, en-tête compris</w:t>
            </w:r>
          </w:p>
        </w:tc>
        <w:tc>
          <w:tcPr>
            <w:tcW w:type="dxa" w:w="2844"/>
            <w:vAlign w:val="center"/>
            <w:shd w:fill="F7F7F7"/>
          </w:tcPr>
          <w:p>
            <w:pPr>
              <w:spacing w:after="40" w:before="40" w:line="240" w:lineRule="auto"/>
            </w:pPr>
            <w:r>
              <w:rPr>
                <w:rFonts w:ascii="Calibri" w:hAnsi="Calibri"/>
                <w:b w:val="0"/>
                <w:sz w:val="20"/>
              </w:rPr>
              <w:t>D210:I431</w:t>
            </w:r>
          </w:p>
        </w:tc>
        <w:tc>
          <w:tcPr>
            <w:tcW w:type="dxa" w:w="2844"/>
            <w:vAlign w:val="center"/>
            <w:shd w:fill="F7F7F7"/>
          </w:tcPr>
          <w:p>
            <w:pPr>
              <w:spacing w:after="40" w:before="40" w:line="240" w:lineRule="auto"/>
            </w:pPr>
            <w:r>
              <w:rPr>
                <w:rFonts w:ascii="Calibri" w:hAnsi="Calibri"/>
                <w:b w:val="0"/>
                <w:sz w:val="20"/>
              </w:rPr>
              <w:t>D196:I412</w:t>
            </w:r>
          </w:p>
        </w:tc>
      </w:tr>
      <w:tr>
        <w:trPr>
          <w:cantSplit/>
        </w:trPr>
        <w:tc>
          <w:tcPr>
            <w:tcW w:type="dxa" w:w="4536"/>
            <w:vAlign w:val="center"/>
          </w:tcPr>
          <w:p>
            <w:pPr>
              <w:spacing w:after="40" w:before="40" w:line="240" w:lineRule="auto"/>
            </w:pPr>
            <w:r>
              <w:rPr>
                <w:rFonts w:ascii="Calibri" w:hAnsi="Calibri"/>
                <w:b w:val="0"/>
                <w:sz w:val="20"/>
              </w:rPr>
              <w:t>Courbes complètes</w:t>
            </w:r>
          </w:p>
        </w:tc>
        <w:tc>
          <w:tcPr>
            <w:tcW w:type="dxa" w:w="2844"/>
            <w:vAlign w:val="center"/>
          </w:tcPr>
          <w:p>
            <w:pPr>
              <w:spacing w:after="40" w:before="40" w:line="240" w:lineRule="auto"/>
            </w:pPr>
            <w:r>
              <w:rPr>
                <w:rFonts w:ascii="Calibri" w:hAnsi="Calibri"/>
                <w:b w:val="0"/>
                <w:sz w:val="20"/>
              </w:rPr>
              <w:t>D434:I…</w:t>
            </w:r>
          </w:p>
        </w:tc>
        <w:tc>
          <w:tcPr>
            <w:tcW w:type="dxa" w:w="2844"/>
            <w:vAlign w:val="center"/>
          </w:tcPr>
          <w:p>
            <w:pPr>
              <w:spacing w:after="40" w:before="40" w:line="240" w:lineRule="auto"/>
            </w:pPr>
            <w:r>
              <w:rPr>
                <w:rFonts w:ascii="Calibri" w:hAnsi="Calibri"/>
                <w:b w:val="0"/>
                <w:sz w:val="20"/>
              </w:rPr>
              <w:t>D415:I…</w:t>
            </w:r>
          </w:p>
        </w:tc>
      </w:tr>
      <w:tr>
        <w:trPr>
          <w:cantSplit/>
        </w:trPr>
        <w:tc>
          <w:tcPr>
            <w:tcW w:type="dxa" w:w="4536"/>
            <w:vAlign w:val="center"/>
            <w:shd w:fill="F7F7F7"/>
          </w:tcPr>
          <w:p>
            <w:pPr>
              <w:spacing w:after="40" w:before="40" w:line="240" w:lineRule="auto"/>
            </w:pPr>
            <w:r>
              <w:rPr>
                <w:rFonts w:ascii="Calibri" w:hAnsi="Calibri"/>
                <w:b w:val="0"/>
                <w:sz w:val="20"/>
              </w:rPr>
              <w:t>Courbes sur un an</w:t>
            </w:r>
          </w:p>
        </w:tc>
        <w:tc>
          <w:tcPr>
            <w:tcW w:type="dxa" w:w="2844"/>
            <w:vAlign w:val="center"/>
            <w:shd w:fill="F7F7F7"/>
          </w:tcPr>
          <w:p>
            <w:pPr>
              <w:spacing w:after="40" w:before="40" w:line="240" w:lineRule="auto"/>
            </w:pPr>
            <w:r>
              <w:rPr>
                <w:rFonts w:ascii="Calibri" w:hAnsi="Calibri"/>
                <w:b w:val="0"/>
                <w:sz w:val="20"/>
              </w:rPr>
              <w:t>M434:Q447</w:t>
            </w:r>
          </w:p>
        </w:tc>
        <w:tc>
          <w:tcPr>
            <w:tcW w:type="dxa" w:w="2844"/>
            <w:vAlign w:val="center"/>
            <w:shd w:fill="F7F7F7"/>
          </w:tcPr>
          <w:p>
            <w:pPr>
              <w:spacing w:after="40" w:before="40" w:line="240" w:lineRule="auto"/>
            </w:pPr>
            <w:r>
              <w:rPr>
                <w:rFonts w:ascii="Calibri" w:hAnsi="Calibri"/>
                <w:b w:val="0"/>
                <w:sz w:val="20"/>
              </w:rPr>
              <w:t>M415:Q428</w:t>
            </w:r>
          </w:p>
        </w:tc>
      </w:tr>
    </w:tbl>
    <w:p>
      <w:pPr>
        <w:spacing w:after="0"/>
      </w:pPr>
      <w:r>
        <w:rPr>
          <w:b w:val="0"/>
        </w:rPr>
      </w:r>
    </w:p>
    <w:p>
      <w:pPr>
        <w:pStyle w:val="Heading2"/>
      </w:pPr>
      <w:r>
        <w:t>Qui produit chaque bloc ?</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3384"/>
        <w:gridCol w:w="6840"/>
      </w:tblGrid>
      <w:tr>
        <w:trPr>
          <w:cantSplit/>
          <w:tblHeader/>
        </w:trPr>
        <w:tc>
          <w:tcPr>
            <w:tcW w:type="dxa" w:w="3384"/>
            <w:vAlign w:val="center"/>
            <w:shd w:fill="E8E8E8"/>
          </w:tcPr>
          <w:p>
            <w:pPr>
              <w:spacing w:after="40" w:before="40" w:line="240" w:lineRule="auto"/>
            </w:pPr>
            <w:r>
              <w:rPr>
                <w:rFonts w:ascii="Calibri" w:hAnsi="Calibri"/>
                <w:b/>
                <w:sz w:val="19"/>
              </w:rPr>
              <w:t>Tableau</w:t>
            </w:r>
          </w:p>
        </w:tc>
        <w:tc>
          <w:tcPr>
            <w:tcW w:type="dxa" w:w="6840"/>
            <w:vAlign w:val="center"/>
            <w:shd w:fill="E8E8E8"/>
          </w:tcPr>
          <w:p>
            <w:pPr>
              <w:spacing w:after="40" w:before="40" w:line="240" w:lineRule="auto"/>
            </w:pPr>
            <w:r>
              <w:rPr>
                <w:rFonts w:ascii="Calibri" w:hAnsi="Calibri"/>
                <w:b/>
                <w:sz w:val="19"/>
              </w:rPr>
              <w:t>Calcul / construction</w:t>
            </w:r>
          </w:p>
        </w:tc>
      </w:tr>
      <w:tr>
        <w:trPr>
          <w:cantSplit/>
        </w:trPr>
        <w:tc>
          <w:tcPr>
            <w:tcW w:type="dxa" w:w="3384"/>
            <w:vAlign w:val="center"/>
          </w:tcPr>
          <w:p>
            <w:pPr>
              <w:spacing w:after="40" w:before="40" w:line="240" w:lineRule="auto"/>
            </w:pPr>
            <w:r>
              <w:rPr>
                <w:rFonts w:ascii="Calibri" w:hAnsi="Calibri"/>
                <w:b w:val="0"/>
                <w:sz w:val="19"/>
              </w:rPr>
              <w:t>Scores, sous-scores et mesures</w:t>
            </w:r>
          </w:p>
        </w:tc>
        <w:tc>
          <w:tcPr>
            <w:tcW w:type="dxa" w:w="6840"/>
            <w:vAlign w:val="center"/>
          </w:tcPr>
          <w:p>
            <w:pPr>
              <w:spacing w:after="40" w:before="40" w:line="240" w:lineRule="auto"/>
            </w:pPr>
            <w:r>
              <w:rPr>
                <w:rFonts w:ascii="Calibri" w:hAnsi="Calibri"/>
                <w:b w:val="0"/>
                <w:sz w:val="19"/>
              </w:rPr>
              <w:t>model_secto calcule ; excel_output.build_output choisit le mois final et place les valeurs.</w:t>
            </w:r>
          </w:p>
        </w:tc>
      </w:tr>
      <w:tr>
        <w:trPr>
          <w:cantSplit/>
        </w:trPr>
        <w:tc>
          <w:tcPr>
            <w:tcW w:type="dxa" w:w="3384"/>
            <w:vAlign w:val="center"/>
            <w:shd w:fill="F7F7F7"/>
          </w:tcPr>
          <w:p>
            <w:pPr>
              <w:spacing w:after="40" w:before="40" w:line="240" w:lineRule="auto"/>
            </w:pPr>
            <w:r>
              <w:rPr>
                <w:rFonts w:ascii="Calibri" w:hAnsi="Calibri"/>
                <w:b w:val="0"/>
                <w:sz w:val="19"/>
              </w:rPr>
              <w:t>Votes, score global, recommandation</w:t>
            </w:r>
          </w:p>
        </w:tc>
        <w:tc>
          <w:tcPr>
            <w:tcW w:type="dxa" w:w="6840"/>
            <w:vAlign w:val="center"/>
            <w:shd w:fill="F7F7F7"/>
          </w:tcPr>
          <w:p>
            <w:pPr>
              <w:spacing w:after="40" w:before="40" w:line="240" w:lineRule="auto"/>
            </w:pPr>
            <w:r>
              <w:rPr>
                <w:rFonts w:ascii="Calibri" w:hAnsi="Calibri"/>
                <w:b w:val="0"/>
                <w:sz w:val="19"/>
              </w:rPr>
              <w:t>model_secto.compute_final_results ; mêmes résultats repris dans Output et les CSV.</w:t>
            </w:r>
          </w:p>
        </w:tc>
      </w:tr>
      <w:tr>
        <w:trPr>
          <w:cantSplit/>
        </w:trPr>
        <w:tc>
          <w:tcPr>
            <w:tcW w:type="dxa" w:w="3384"/>
            <w:vAlign w:val="center"/>
          </w:tcPr>
          <w:p>
            <w:pPr>
              <w:spacing w:after="40" w:before="40" w:line="240" w:lineRule="auto"/>
            </w:pPr>
            <w:r>
              <w:rPr>
                <w:rFonts w:ascii="Calibri" w:hAnsi="Calibri"/>
                <w:b w:val="0"/>
                <w:sz w:val="19"/>
              </w:rPr>
              <w:t>Recommandations sur 15 mois</w:t>
            </w:r>
          </w:p>
        </w:tc>
        <w:tc>
          <w:tcPr>
            <w:tcW w:type="dxa" w:w="6840"/>
            <w:vAlign w:val="center"/>
          </w:tcPr>
          <w:p>
            <w:pPr>
              <w:spacing w:after="40" w:before="40" w:line="240" w:lineRule="auto"/>
            </w:pPr>
            <w:r>
              <w:rPr>
                <w:rFonts w:ascii="Calibri" w:hAnsi="Calibri"/>
                <w:b w:val="0"/>
                <w:sz w:val="19"/>
              </w:rPr>
              <w:t>build_output pivote history ; affiche le mois d’allocation suivant le signal.</w:t>
            </w:r>
          </w:p>
        </w:tc>
      </w:tr>
      <w:tr>
        <w:trPr>
          <w:cantSplit/>
        </w:trPr>
        <w:tc>
          <w:tcPr>
            <w:tcW w:type="dxa" w:w="3384"/>
            <w:vAlign w:val="center"/>
            <w:shd w:fill="F7F7F7"/>
          </w:tcPr>
          <w:p>
            <w:pPr>
              <w:spacing w:after="40" w:before="40" w:line="240" w:lineRule="auto"/>
            </w:pPr>
            <w:r>
              <w:rPr>
                <w:rFonts w:ascii="Calibri" w:hAnsi="Calibri"/>
                <w:b w:val="0"/>
                <w:sz w:val="19"/>
              </w:rPr>
              <w:t>Performances 1M à 5Y</w:t>
            </w:r>
          </w:p>
        </w:tc>
        <w:tc>
          <w:tcPr>
            <w:tcW w:type="dxa" w:w="6840"/>
            <w:vAlign w:val="center"/>
            <w:shd w:fill="F7F7F7"/>
          </w:tcPr>
          <w:p>
            <w:pPr>
              <w:spacing w:after="40" w:before="40" w:line="240" w:lineRule="auto"/>
            </w:pPr>
            <w:r>
              <w:rPr>
                <w:rFonts w:ascii="Calibri" w:hAnsi="Calibri"/>
                <w:b w:val="0"/>
                <w:sz w:val="19"/>
              </w:rPr>
              <w:t>build_output compose les rendements sectoriels jusqu’au mois du signal.</w:t>
            </w:r>
          </w:p>
        </w:tc>
      </w:tr>
      <w:tr>
        <w:trPr>
          <w:cantSplit/>
        </w:trPr>
        <w:tc>
          <w:tcPr>
            <w:tcW w:type="dxa" w:w="3384"/>
            <w:vAlign w:val="center"/>
          </w:tcPr>
          <w:p>
            <w:pPr>
              <w:spacing w:after="40" w:before="40" w:line="240" w:lineRule="auto"/>
            </w:pPr>
            <w:r>
              <w:rPr>
                <w:rFonts w:ascii="Calibri" w:hAnsi="Calibri"/>
                <w:b w:val="0"/>
                <w:sz w:val="19"/>
              </w:rPr>
              <w:t>Historiques des mini-graphiques</w:t>
            </w:r>
          </w:p>
        </w:tc>
        <w:tc>
          <w:tcPr>
            <w:tcW w:type="dxa" w:w="6840"/>
            <w:vAlign w:val="center"/>
          </w:tcPr>
          <w:p>
            <w:pPr>
              <w:spacing w:after="40" w:before="40" w:line="240" w:lineRule="auto"/>
            </w:pPr>
            <w:r>
              <w:rPr>
                <w:rFonts w:ascii="Calibri" w:hAnsi="Calibri"/>
                <w:b w:val="0"/>
                <w:sz w:val="19"/>
              </w:rPr>
              <w:t>build_output reprend variable_raw ; calcule l’écart à la moyenne ou le ratio de révision ; exporte 60 mois.</w:t>
            </w:r>
          </w:p>
        </w:tc>
      </w:tr>
      <w:tr>
        <w:trPr>
          <w:cantSplit/>
        </w:trPr>
        <w:tc>
          <w:tcPr>
            <w:tcW w:type="dxa" w:w="3384"/>
            <w:vAlign w:val="center"/>
            <w:shd w:fill="F7F7F7"/>
          </w:tcPr>
          <w:p>
            <w:pPr>
              <w:spacing w:after="40" w:before="40" w:line="240" w:lineRule="auto"/>
            </w:pPr>
            <w:r>
              <w:rPr>
                <w:rFonts w:ascii="Calibri" w:hAnsi="Calibri"/>
                <w:b w:val="0"/>
                <w:sz w:val="19"/>
              </w:rPr>
              <w:t>Détails longs</w:t>
            </w:r>
          </w:p>
        </w:tc>
        <w:tc>
          <w:tcPr>
            <w:tcW w:type="dxa" w:w="6840"/>
            <w:vAlign w:val="center"/>
            <w:shd w:fill="F7F7F7"/>
          </w:tcPr>
          <w:p>
            <w:pPr>
              <w:spacing w:after="40" w:before="40" w:line="240" w:lineRule="auto"/>
            </w:pPr>
            <w:r>
              <w:rPr>
                <w:rFonts w:ascii="Calibri" w:hAnsi="Calibri"/>
                <w:b w:val="0"/>
                <w:sz w:val="19"/>
              </w:rPr>
              <w:t>build_output exporte Date, Secteur, Pilier, Variable, Mesure, Score pour le mois du signal.</w:t>
            </w:r>
          </w:p>
        </w:tc>
      </w:tr>
      <w:tr>
        <w:trPr>
          <w:cantSplit/>
        </w:trPr>
        <w:tc>
          <w:tcPr>
            <w:tcW w:type="dxa" w:w="3384"/>
            <w:vAlign w:val="center"/>
          </w:tcPr>
          <w:p>
            <w:pPr>
              <w:spacing w:after="40" w:before="40" w:line="240" w:lineRule="auto"/>
            </w:pPr>
            <w:r>
              <w:rPr>
                <w:rFonts w:ascii="Calibri" w:hAnsi="Calibri"/>
                <w:b w:val="0"/>
                <w:sz w:val="19"/>
              </w:rPr>
              <w:t>Courbes et rendements du portefeuille</w:t>
            </w:r>
          </w:p>
        </w:tc>
        <w:tc>
          <w:tcPr>
            <w:tcW w:type="dxa" w:w="6840"/>
            <w:vAlign w:val="center"/>
          </w:tcPr>
          <w:p>
            <w:pPr>
              <w:spacing w:after="40" w:before="40" w:line="240" w:lineRule="auto"/>
            </w:pPr>
            <w:r>
              <w:rPr>
                <w:rFonts w:ascii="Calibri" w:hAnsi="Calibri"/>
                <w:b w:val="0"/>
                <w:sz w:val="19"/>
              </w:rPr>
              <w:t>excel_output.compute_portfolio ; build_output place les cumuls et la fenêtre d’un an.</w:t>
            </w:r>
          </w:p>
        </w:tc>
      </w:tr>
    </w:tbl>
    <w:p>
      <w:pPr>
        <w:spacing w:after="0"/>
      </w:pPr>
      <w:r>
        <w:rPr>
          <w:b w:val="0"/>
        </w:rPr>
      </w:r>
    </w:p>
    <w:p>
      <w:pPr>
        <w:spacing w:before="100" w:after="0"/>
      </w:pPr>
      <w:r>
        <w:rPr>
          <w:b w:val="0"/>
          <w:color w:val="505050"/>
          <w:sz w:val="18"/>
        </w:rPr>
        <w:t>Source : excel_output.py → output_layout, build_output, compute_portfolio.</w:t>
      </w:r>
    </w:p>
    <w:p>
      <w:r>
        <w:br w:type="page"/>
      </w:r>
    </w:p>
    <w:p>
      <w:pPr>
        <w:spacing w:after="40"/>
      </w:pPr>
      <w:r>
        <w:rPr>
          <w:b w:val="0"/>
          <w:color w:val="555555"/>
          <w:sz w:val="18"/>
        </w:rPr>
        <w:t>ORGANISATION</w:t>
      </w:r>
    </w:p>
    <w:p>
      <w:pPr>
        <w:pStyle w:val="Heading1"/>
      </w:pPr>
      <w:r>
        <w:t>9. Dashboard, exports et recherche</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3384"/>
        <w:gridCol w:w="6840"/>
      </w:tblGrid>
      <w:tr>
        <w:trPr>
          <w:cantSplit/>
          <w:tblHeader/>
        </w:trPr>
        <w:tc>
          <w:tcPr>
            <w:tcW w:type="dxa" w:w="3384"/>
            <w:vAlign w:val="center"/>
            <w:shd w:fill="E8E8E8"/>
          </w:tcPr>
          <w:p>
            <w:pPr>
              <w:spacing w:after="40" w:before="40" w:line="240" w:lineRule="auto"/>
            </w:pPr>
            <w:r>
              <w:rPr>
                <w:rFonts w:ascii="Calibri" w:hAnsi="Calibri"/>
                <w:b/>
                <w:sz w:val="19"/>
              </w:rPr>
              <w:t>Objet / fichier</w:t>
            </w:r>
          </w:p>
        </w:tc>
        <w:tc>
          <w:tcPr>
            <w:tcW w:type="dxa" w:w="6840"/>
            <w:vAlign w:val="center"/>
            <w:shd w:fill="E8E8E8"/>
          </w:tcPr>
          <w:p>
            <w:pPr>
              <w:spacing w:after="40" w:before="40" w:line="240" w:lineRule="auto"/>
            </w:pPr>
            <w:r>
              <w:rPr>
                <w:rFonts w:ascii="Calibri" w:hAnsi="Calibri"/>
                <w:b/>
                <w:sz w:val="19"/>
              </w:rPr>
              <w:t>Origine et mise à jour</w:t>
            </w:r>
          </w:p>
        </w:tc>
      </w:tr>
      <w:tr>
        <w:trPr>
          <w:cantSplit/>
        </w:trPr>
        <w:tc>
          <w:tcPr>
            <w:tcW w:type="dxa" w:w="3384"/>
            <w:vAlign w:val="center"/>
          </w:tcPr>
          <w:p>
            <w:pPr>
              <w:spacing w:after="40" w:before="40" w:line="240" w:lineRule="auto"/>
            </w:pPr>
            <w:r>
              <w:rPr>
                <w:rFonts w:ascii="Calibri" w:hAnsi="Calibri"/>
                <w:b w:val="0"/>
                <w:sz w:val="19"/>
              </w:rPr>
              <w:t>Scorecard du Dashboard</w:t>
            </w:r>
          </w:p>
        </w:tc>
        <w:tc>
          <w:tcPr>
            <w:tcW w:type="dxa" w:w="6840"/>
            <w:vAlign w:val="center"/>
          </w:tcPr>
          <w:p>
            <w:pPr>
              <w:spacing w:after="40" w:before="40" w:line="240" w:lineRule="auto"/>
            </w:pPr>
            <w:r>
              <w:rPr>
                <w:rFonts w:ascii="Calibri" w:hAnsi="Calibri"/>
                <w:b w:val="0"/>
                <w:sz w:val="19"/>
              </w:rPr>
              <w:t>Formules reliées à Output par link_dashboard. Six groupes de colonnes restent dépliables ; couleurs et présentation du modèle Excel sont conservées.</w:t>
            </w:r>
          </w:p>
        </w:tc>
      </w:tr>
      <w:tr>
        <w:trPr>
          <w:cantSplit/>
        </w:trPr>
        <w:tc>
          <w:tcPr>
            <w:tcW w:type="dxa" w:w="3384"/>
            <w:vAlign w:val="center"/>
            <w:shd w:fill="F7F7F7"/>
          </w:tcPr>
          <w:p>
            <w:pPr>
              <w:spacing w:after="40" w:before="40" w:line="240" w:lineRule="auto"/>
            </w:pPr>
            <w:r>
              <w:rPr>
                <w:rFonts w:ascii="Calibri" w:hAnsi="Calibri"/>
                <w:b w:val="0"/>
                <w:sz w:val="19"/>
              </w:rPr>
              <w:t>Mini-graphiques du scorecard</w:t>
            </w:r>
          </w:p>
        </w:tc>
        <w:tc>
          <w:tcPr>
            <w:tcW w:type="dxa" w:w="6840"/>
            <w:vAlign w:val="center"/>
            <w:shd w:fill="F7F7F7"/>
          </w:tcPr>
          <w:p>
            <w:pPr>
              <w:spacing w:after="40" w:before="40" w:line="240" w:lineRule="auto"/>
            </w:pPr>
            <w:r>
              <w:rPr>
                <w:rFonts w:ascii="Calibri" w:hAnsi="Calibri"/>
                <w:b w:val="0"/>
                <w:sz w:val="19"/>
              </w:rPr>
              <w:t>Plages de 60 mois dans Output. Les données sont exportées avec le snapshot ; elles ne sont pas reconstruites à partir d’un seul score courant.</w:t>
            </w:r>
          </w:p>
        </w:tc>
      </w:tr>
      <w:tr>
        <w:trPr>
          <w:cantSplit/>
        </w:trPr>
        <w:tc>
          <w:tcPr>
            <w:tcW w:type="dxa" w:w="3384"/>
            <w:vAlign w:val="center"/>
          </w:tcPr>
          <w:p>
            <w:pPr>
              <w:spacing w:after="40" w:before="40" w:line="240" w:lineRule="auto"/>
            </w:pPr>
            <w:r>
              <w:rPr>
                <w:rFonts w:ascii="Calibri" w:hAnsi="Calibri"/>
                <w:b w:val="0"/>
                <w:sz w:val="19"/>
              </w:rPr>
              <w:t>Deux tableaux liés</w:t>
            </w:r>
          </w:p>
        </w:tc>
        <w:tc>
          <w:tcPr>
            <w:tcW w:type="dxa" w:w="6840"/>
            <w:vAlign w:val="center"/>
          </w:tcPr>
          <w:p>
            <w:pPr>
              <w:spacing w:after="40" w:before="40" w:line="240" w:lineRule="auto"/>
            </w:pPr>
            <w:r>
              <w:rPr>
                <w:rFonts w:ascii="Calibri" w:hAnsi="Calibri"/>
                <w:b w:val="0"/>
                <w:sz w:val="19"/>
              </w:rPr>
              <w:t>Recommandations récentes et performances sectorielles. Images liées aux plages Output, actualisées dans Excel.</w:t>
            </w:r>
          </w:p>
        </w:tc>
      </w:tr>
      <w:tr>
        <w:trPr>
          <w:cantSplit/>
        </w:trPr>
        <w:tc>
          <w:tcPr>
            <w:tcW w:type="dxa" w:w="3384"/>
            <w:vAlign w:val="center"/>
            <w:shd w:fill="F7F7F7"/>
          </w:tcPr>
          <w:p>
            <w:pPr>
              <w:spacing w:after="40" w:before="40" w:line="240" w:lineRule="auto"/>
            </w:pPr>
            <w:r>
              <w:rPr>
                <w:rFonts w:ascii="Calibri" w:hAnsi="Calibri"/>
                <w:b w:val="0"/>
                <w:sz w:val="19"/>
              </w:rPr>
              <w:t>Quatre graphiques natifs</w:t>
            </w:r>
          </w:p>
        </w:tc>
        <w:tc>
          <w:tcPr>
            <w:tcW w:type="dxa" w:w="6840"/>
            <w:vAlign w:val="center"/>
            <w:shd w:fill="F7F7F7"/>
          </w:tcPr>
          <w:p>
            <w:pPr>
              <w:spacing w:after="40" w:before="40" w:line="240" w:lineRule="auto"/>
            </w:pPr>
            <w:r>
              <w:rPr>
                <w:rFonts w:ascii="Calibri" w:hAnsi="Calibri"/>
                <w:b w:val="0"/>
                <w:sz w:val="19"/>
              </w:rPr>
              <w:t>Deux courbes historiques, une courbe sur un an et un graphique des performances sectorielles. Sources dans Output : plages Courbe_*, Annee_* et tableau des performances.</w:t>
            </w:r>
          </w:p>
        </w:tc>
      </w:tr>
      <w:tr>
        <w:trPr>
          <w:cantSplit/>
        </w:trPr>
        <w:tc>
          <w:tcPr>
            <w:tcW w:type="dxa" w:w="3384"/>
            <w:vAlign w:val="center"/>
          </w:tcPr>
          <w:p>
            <w:pPr>
              <w:spacing w:after="40" w:before="40" w:line="240" w:lineRule="auto"/>
            </w:pPr>
            <w:r>
              <w:rPr>
                <w:rFonts w:ascii="Calibri" w:hAnsi="Calibri"/>
                <w:b w:val="0"/>
                <w:sz w:val="19"/>
              </w:rPr>
              <w:t>*_output.xlsx</w:t>
            </w:r>
          </w:p>
        </w:tc>
        <w:tc>
          <w:tcPr>
            <w:tcW w:type="dxa" w:w="6840"/>
            <w:vAlign w:val="center"/>
          </w:tcPr>
          <w:p>
            <w:pPr>
              <w:spacing w:after="40" w:before="40" w:line="240" w:lineRule="auto"/>
            </w:pPr>
            <w:r>
              <w:rPr>
                <w:rFonts w:ascii="Calibri" w:hAnsi="Calibri"/>
                <w:b w:val="0"/>
                <w:sz w:val="19"/>
              </w:rPr>
              <w:t>save_excel écrit la grille ; excel_output.fill_workbook exporte le tableau mis en forme.</w:t>
            </w:r>
          </w:p>
        </w:tc>
      </w:tr>
      <w:tr>
        <w:trPr>
          <w:cantSplit/>
        </w:trPr>
        <w:tc>
          <w:tcPr>
            <w:tcW w:type="dxa" w:w="3384"/>
            <w:vAlign w:val="center"/>
            <w:shd w:fill="F7F7F7"/>
          </w:tcPr>
          <w:p>
            <w:pPr>
              <w:spacing w:after="40" w:before="40" w:line="240" w:lineRule="auto"/>
            </w:pPr>
            <w:r>
              <w:rPr>
                <w:rFonts w:ascii="Calibri" w:hAnsi="Calibri"/>
                <w:b w:val="0"/>
                <w:sz w:val="19"/>
              </w:rPr>
              <w:t>*_performance_portefeuille.csv</w:t>
            </w:r>
          </w:p>
        </w:tc>
        <w:tc>
          <w:tcPr>
            <w:tcW w:type="dxa" w:w="6840"/>
            <w:vAlign w:val="center"/>
            <w:shd w:fill="F7F7F7"/>
          </w:tcPr>
          <w:p>
            <w:pPr>
              <w:spacing w:after="40" w:before="40" w:line="240" w:lineRule="auto"/>
            </w:pPr>
            <w:r>
              <w:rPr>
                <w:rFonts w:ascii="Calibri" w:hAnsi="Calibri"/>
                <w:b w:val="0"/>
                <w:sz w:val="19"/>
              </w:rPr>
              <w:t>save_excel exporte les rendements mensuels : benchmark, portfolio, top, bottom, long_short.</w:t>
            </w:r>
          </w:p>
        </w:tc>
      </w:tr>
      <w:tr>
        <w:trPr>
          <w:cantSplit/>
        </w:trPr>
        <w:tc>
          <w:tcPr>
            <w:tcW w:type="dxa" w:w="3384"/>
            <w:vAlign w:val="center"/>
          </w:tcPr>
          <w:p>
            <w:pPr>
              <w:spacing w:after="40" w:before="40" w:line="240" w:lineRule="auto"/>
            </w:pPr>
            <w:r>
              <w:rPr>
                <w:rFonts w:ascii="Calibri" w:hAnsi="Calibri"/>
                <w:b w:val="0"/>
                <w:sz w:val="19"/>
              </w:rPr>
              <w:t>*_recommandations_latest.csv</w:t>
            </w:r>
          </w:p>
        </w:tc>
        <w:tc>
          <w:tcPr>
            <w:tcW w:type="dxa" w:w="6840"/>
            <w:vAlign w:val="center"/>
          </w:tcPr>
          <w:p>
            <w:pPr>
              <w:spacing w:after="40" w:before="40" w:line="240" w:lineRule="auto"/>
            </w:pPr>
            <w:r>
              <w:rPr>
                <w:rFonts w:ascii="Calibri" w:hAnsi="Calibri"/>
                <w:b w:val="0"/>
                <w:sz w:val="19"/>
              </w:rPr>
              <w:t>save_production : lignes du dernier mois de signal final.</w:t>
            </w:r>
          </w:p>
        </w:tc>
      </w:tr>
      <w:tr>
        <w:trPr>
          <w:cantSplit/>
        </w:trPr>
        <w:tc>
          <w:tcPr>
            <w:tcW w:type="dxa" w:w="3384"/>
            <w:vAlign w:val="center"/>
            <w:shd w:fill="F7F7F7"/>
          </w:tcPr>
          <w:p>
            <w:pPr>
              <w:spacing w:after="40" w:before="40" w:line="240" w:lineRule="auto"/>
            </w:pPr>
            <w:r>
              <w:rPr>
                <w:rFonts w:ascii="Calibri" w:hAnsi="Calibri"/>
                <w:b w:val="0"/>
                <w:sz w:val="19"/>
              </w:rPr>
              <w:t>*_piliers_latest_with_reco.csv</w:t>
            </w:r>
          </w:p>
        </w:tc>
        <w:tc>
          <w:tcPr>
            <w:tcW w:type="dxa" w:w="6840"/>
            <w:vAlign w:val="center"/>
            <w:shd w:fill="F7F7F7"/>
          </w:tcPr>
          <w:p>
            <w:pPr>
              <w:spacing w:after="40" w:before="40" w:line="240" w:lineRule="auto"/>
            </w:pPr>
            <w:r>
              <w:rPr>
                <w:rFonts w:ascii="Calibri" w:hAnsi="Calibri"/>
                <w:b w:val="0"/>
                <w:sz w:val="19"/>
              </w:rPr>
              <w:t>save_production : sélection des scores et recommandations de ce même mois.</w:t>
            </w:r>
          </w:p>
        </w:tc>
      </w:tr>
      <w:tr>
        <w:trPr>
          <w:cantSplit/>
        </w:trPr>
        <w:tc>
          <w:tcPr>
            <w:tcW w:type="dxa" w:w="3384"/>
            <w:vAlign w:val="center"/>
          </w:tcPr>
          <w:p>
            <w:pPr>
              <w:spacing w:after="40" w:before="40" w:line="240" w:lineRule="auto"/>
            </w:pPr>
            <w:r>
              <w:rPr>
                <w:rFonts w:ascii="Calibri" w:hAnsi="Calibri"/>
                <w:b w:val="0"/>
                <w:sz w:val="19"/>
              </w:rPr>
              <w:t>*_piliers_latest_available.csv</w:t>
            </w:r>
          </w:p>
        </w:tc>
        <w:tc>
          <w:tcPr>
            <w:tcW w:type="dxa" w:w="6840"/>
            <w:vAlign w:val="center"/>
          </w:tcPr>
          <w:p>
            <w:pPr>
              <w:spacing w:after="40" w:before="40" w:line="240" w:lineRule="auto"/>
            </w:pPr>
            <w:r>
              <w:rPr>
                <w:rFonts w:ascii="Calibri" w:hAnsi="Calibri"/>
                <w:b w:val="0"/>
                <w:sz w:val="19"/>
              </w:rPr>
              <w:t>save_production : dernière date commune disponible des piliers, parfois plus récente que le signal final.</w:t>
            </w:r>
          </w:p>
        </w:tc>
      </w:tr>
      <w:tr>
        <w:trPr>
          <w:cantSplit/>
        </w:trPr>
        <w:tc>
          <w:tcPr>
            <w:tcW w:type="dxa" w:w="3384"/>
            <w:vAlign w:val="center"/>
            <w:shd w:fill="F7F7F7"/>
          </w:tcPr>
          <w:p>
            <w:pPr>
              <w:spacing w:after="40" w:before="40" w:line="240" w:lineRule="auto"/>
            </w:pPr>
            <w:r>
              <w:rPr>
                <w:rFonts w:ascii="Calibri" w:hAnsi="Calibri"/>
                <w:b w:val="0"/>
                <w:sz w:val="19"/>
              </w:rPr>
              <w:t>*_historique_modele.csv</w:t>
            </w:r>
          </w:p>
        </w:tc>
        <w:tc>
          <w:tcPr>
            <w:tcW w:type="dxa" w:w="6840"/>
            <w:vAlign w:val="center"/>
            <w:shd w:fill="F7F7F7"/>
          </w:tcPr>
          <w:p>
            <w:pPr>
              <w:spacing w:after="40" w:before="40" w:line="240" w:lineRule="auto"/>
            </w:pPr>
            <w:r>
              <w:rPr>
                <w:rFonts w:ascii="Calibri" w:hAnsi="Calibri"/>
                <w:b w:val="0"/>
                <w:sz w:val="19"/>
              </w:rPr>
              <w:t>Créé par save_outputs / save_all_outputs. Non actualisé par le lancement mensuel standard ; vérifier sa date avant utilisation.</w:t>
            </w:r>
          </w:p>
        </w:tc>
      </w:tr>
      <w:tr>
        <w:trPr>
          <w:cantSplit/>
        </w:trPr>
        <w:tc>
          <w:tcPr>
            <w:tcW w:type="dxa" w:w="3384"/>
            <w:vAlign w:val="center"/>
          </w:tcPr>
          <w:p>
            <w:pPr>
              <w:spacing w:after="40" w:before="40" w:line="240" w:lineRule="auto"/>
            </w:pPr>
            <w:r>
              <w:rPr>
                <w:rFonts w:ascii="Calibri" w:hAnsi="Calibri"/>
                <w:b w:val="0"/>
                <w:sz w:val="19"/>
              </w:rPr>
              <w:t>Reco_histo</w:t>
            </w:r>
          </w:p>
        </w:tc>
        <w:tc>
          <w:tcPr>
            <w:tcW w:type="dxa" w:w="6840"/>
            <w:vAlign w:val="center"/>
          </w:tcPr>
          <w:p>
            <w:pPr>
              <w:spacing w:after="40" w:before="40" w:line="240" w:lineRule="auto"/>
            </w:pPr>
            <w:r>
              <w:rPr>
                <w:rFonts w:ascii="Calibri" w:hAnsi="Calibri"/>
                <w:b w:val="0"/>
                <w:sz w:val="19"/>
              </w:rPr>
              <w:t>append_recommendations ajoute les nouveaux signaux dans l’archive conservée du classeur.</w:t>
            </w:r>
          </w:p>
        </w:tc>
      </w:tr>
      <w:tr>
        <w:trPr>
          <w:cantSplit/>
        </w:trPr>
        <w:tc>
          <w:tcPr>
            <w:tcW w:type="dxa" w:w="3384"/>
            <w:vAlign w:val="center"/>
            <w:shd w:fill="F7F7F7"/>
          </w:tcPr>
          <w:p>
            <w:pPr>
              <w:spacing w:after="40" w:before="40" w:line="240" w:lineRule="auto"/>
            </w:pPr>
            <w:r>
              <w:rPr>
                <w:rFonts w:ascii="Calibri" w:hAnsi="Calibri"/>
                <w:b w:val="0"/>
                <w:sz w:val="19"/>
              </w:rPr>
              <w:t>actualisation.txt</w:t>
            </w:r>
          </w:p>
        </w:tc>
        <w:tc>
          <w:tcPr>
            <w:tcW w:type="dxa" w:w="6840"/>
            <w:vAlign w:val="center"/>
            <w:shd w:fill="F7F7F7"/>
          </w:tcPr>
          <w:p>
            <w:pPr>
              <w:spacing w:after="40" w:before="40" w:line="240" w:lineRule="auto"/>
            </w:pPr>
            <w:r>
              <w:rPr>
                <w:rFonts w:ascii="Calibri" w:hAnsi="Calibri"/>
                <w:b w:val="0"/>
                <w:sz w:val="19"/>
              </w:rPr>
              <w:t>main écrit le bilan de fin de production : dates, ajouts et agrégats manquants.</w:t>
            </w:r>
          </w:p>
        </w:tc>
      </w:tr>
    </w:tbl>
    <w:p>
      <w:pPr>
        <w:spacing w:after="0"/>
      </w:pPr>
      <w:r>
        <w:rPr>
          <w:b w:val="0"/>
        </w:rPr>
      </w:r>
    </w:p>
    <w:p>
      <w:pPr>
        <w:pStyle w:val="Heading2"/>
      </w:pPr>
      <w:r>
        <w:t>Recherche : un usage séparé</w:t>
      </w:r>
    </w:p>
    <w:p>
      <w:r>
        <w:rPr>
          <w:b w:val="0"/>
        </w:rPr>
        <w:t>research_secto.py et les notebooks peuvent calculer des classements, graphiques et backtests. Le backtest de recherche compare des groupes équipondérés Top / Worst au rendement suivant. Ce n’est pas le portefeuille de production, qui modifie les poids de Bench. Charger le modèle en recherche peut aussi enrichir data_history.xlsx.</w:t>
      </w:r>
    </w:p>
    <w:p>
      <w:pPr>
        <w:spacing w:before="100" w:after="0"/>
      </w:pPr>
      <w:r>
        <w:rPr>
          <w:b w:val="0"/>
          <w:color w:val="505050"/>
          <w:sz w:val="18"/>
        </w:rPr>
        <w:t>Source : actualiser_excel.py ; model_secto.py → save_production, save_all_outputs ; research_secto.py → backtest_score.</w:t>
      </w:r>
    </w:p>
    <w:p>
      <w:r>
        <w:br w:type="page"/>
      </w:r>
    </w:p>
    <w:p>
      <w:pPr>
        <w:spacing w:after="40"/>
      </w:pPr>
      <w:r>
        <w:rPr>
          <w:b w:val="0"/>
          <w:color w:val="555555"/>
          <w:sz w:val="18"/>
        </w:rPr>
        <w:t>ANNEXE A — PIPELINE</w:t>
      </w:r>
    </w:p>
    <w:p>
      <w:pPr>
        <w:pStyle w:val="Heading1"/>
      </w:pPr>
      <w:r>
        <w:t>A1. Déroulement d’un lancement</w:t>
      </w:r>
    </w:p>
    <w:p>
      <w:r>
        <w:drawing>
          <wp:inline xmlns:a="http://schemas.openxmlformats.org/drawingml/2006/main" xmlns:pic="http://schemas.openxmlformats.org/drawingml/2006/picture">
            <wp:extent cx="6446520" cy="5539562"/>
            <wp:docPr id="2" name="Picture 2"/>
            <wp:cNvGraphicFramePr>
              <a:graphicFrameLocks noChangeAspect="1"/>
            </wp:cNvGraphicFramePr>
            <a:graphic>
              <a:graphicData uri="http://schemas.openxmlformats.org/drawingml/2006/picture">
                <pic:pic>
                  <pic:nvPicPr>
                    <pic:cNvPr id="0" name="pipeline_execution.png"/>
                    <pic:cNvPicPr/>
                  </pic:nvPicPr>
                  <pic:blipFill>
                    <a:blip r:embed="rId11"/>
                    <a:stretch>
                      <a:fillRect/>
                    </a:stretch>
                  </pic:blipFill>
                  <pic:spPr>
                    <a:xfrm>
                      <a:off x="0" y="0"/>
                      <a:ext cx="6446520" cy="5539562"/>
                    </a:xfrm>
                    <a:prstGeom prst="rect"/>
                  </pic:spPr>
                </pic:pic>
              </a:graphicData>
            </a:graphic>
          </wp:inline>
        </w:drawing>
      </w:r>
    </w:p>
    <w:p>
      <w:pPr>
        <w:pStyle w:val="Caption"/>
      </w:pPr>
      <w:r>
        <w:rPr>
          <w:b w:val="0"/>
        </w:rPr>
        <w:t>Schéma 1 — Les noms correspondent aux fonctions du projet. Les commentaires montrent l’ordre d’exécution.</w:t>
      </w:r>
    </w:p>
    <w:p>
      <w:r>
        <w:rPr>
          <w:b w:val="0"/>
        </w:rPr>
        <w:t>Les deux modèles sont calculés avant la phase Excel. Chaque calcul peut déjà enregistrer de nouvelles observations. Les classeurs de travail sont installés à la fin de la phase Excel ; l’ensemble des fichiers n’est donc pas mis à jour en une seule transaction.</w:t>
      </w:r>
    </w:p>
    <w:p>
      <w:r>
        <w:rPr>
          <w:b w:val="0"/>
        </w:rPr>
        <w:t>run_production() seul calcule et exporte. Pour écrire dans les deux XLSM et actualiser leur présentation, il faut passer par actualiser_excel.py.</w:t>
      </w:r>
    </w:p>
    <w:p>
      <w:pPr>
        <w:spacing w:before="100" w:after="0"/>
      </w:pPr>
      <w:r>
        <w:rPr>
          <w:b w:val="0"/>
          <w:color w:val="505050"/>
          <w:sz w:val="18"/>
        </w:rPr>
        <w:t>Source : Actualiser.bat ; actualiser_excel.py → main ; model_secto.py → run, run_production.</w:t>
      </w:r>
    </w:p>
    <w:p>
      <w:r>
        <w:br w:type="page"/>
      </w:r>
    </w:p>
    <w:p>
      <w:pPr>
        <w:spacing w:after="40"/>
      </w:pPr>
      <w:r>
        <w:rPr>
          <w:b w:val="0"/>
          <w:color w:val="555555"/>
          <w:sz w:val="18"/>
        </w:rPr>
        <w:t>ANNEXE A — PIPELINE</w:t>
      </w:r>
    </w:p>
    <w:p>
      <w:pPr>
        <w:pStyle w:val="Heading1"/>
      </w:pPr>
      <w:r>
        <w:t>A2. Des entrées au Dashboard</w:t>
      </w:r>
    </w:p>
    <w:p>
      <w:r>
        <w:drawing>
          <wp:inline xmlns:a="http://schemas.openxmlformats.org/drawingml/2006/main" xmlns:pic="http://schemas.openxmlformats.org/drawingml/2006/picture">
            <wp:extent cx="6446520" cy="5348388"/>
            <wp:docPr id="3" name="Picture 3"/>
            <wp:cNvGraphicFramePr>
              <a:graphicFrameLocks noChangeAspect="1"/>
            </wp:cNvGraphicFramePr>
            <a:graphic>
              <a:graphicData uri="http://schemas.openxmlformats.org/drawingml/2006/picture">
                <pic:pic>
                  <pic:nvPicPr>
                    <pic:cNvPr id="0" name="pipeline_donnees.png"/>
                    <pic:cNvPicPr/>
                  </pic:nvPicPr>
                  <pic:blipFill>
                    <a:blip r:embed="rId12"/>
                    <a:stretch>
                      <a:fillRect/>
                    </a:stretch>
                  </pic:blipFill>
                  <pic:spPr>
                    <a:xfrm>
                      <a:off x="0" y="0"/>
                      <a:ext cx="6446520" cy="5348388"/>
                    </a:xfrm>
                    <a:prstGeom prst="rect"/>
                  </pic:spPr>
                </pic:pic>
              </a:graphicData>
            </a:graphic>
          </wp:inline>
        </w:drawing>
      </w:r>
    </w:p>
    <w:p>
      <w:pPr>
        <w:pStyle w:val="Caption"/>
      </w:pPr>
      <w:r>
        <w:rPr>
          <w:b w:val="0"/>
        </w:rPr>
        <w:t>Schéma 2 — Le snapshot et les séries historiques sont exportés ensemble. Les graphiques n’ont pas besoin des anciennes feuilles de calcul.</w:t>
      </w:r>
    </w:p>
    <w:p>
      <w:r>
        <w:rPr>
          <w:b w:val="0"/>
        </w:rPr>
        <w:t>Les entrées sont conservées dans les classeurs. Les calculs du modèle sont faits dans Python. Les objets du Dashboard utilisent les plages d’Output ; seules les formules de liaison et de présentation restent nécessaires dans cette partie du classeur.</w:t>
      </w:r>
    </w:p>
    <w:p>
      <w:r>
        <w:rPr>
          <w:b w:val="0"/>
        </w:rPr>
        <w:t>Les plages nommées des courbes comptent les dates d’Output jusqu’à la ligne 10000. Leur longueur suit ainsi les nouvelles observations dans cette limite.</w:t>
      </w:r>
    </w:p>
    <w:p>
      <w:pPr>
        <w:spacing w:before="100" w:after="0"/>
      </w:pPr>
      <w:r>
        <w:rPr>
          <w:b w:val="0"/>
          <w:color w:val="505050"/>
          <w:sz w:val="18"/>
        </w:rPr>
        <w:t>Source : data_utils.py ; model_secto.py → run_model ; excel_output.py ; excel_output.py → link_dashboard.</w:t>
      </w:r>
    </w:p>
    <w:p>
      <w:r>
        <w:br w:type="page"/>
      </w:r>
    </w:p>
    <w:p>
      <w:pPr>
        <w:spacing w:after="40"/>
      </w:pPr>
      <w:r>
        <w:rPr>
          <w:b w:val="0"/>
          <w:color w:val="555555"/>
          <w:sz w:val="18"/>
        </w:rPr>
        <w:t>ANNEXE B — MÉTHODE</w:t>
      </w:r>
    </w:p>
    <w:p>
      <w:pPr>
        <w:pStyle w:val="Heading1"/>
      </w:pPr>
      <w:r>
        <w:t>B1. Univers et lecture des scores</w:t>
      </w:r>
    </w:p>
    <w:p>
      <w:r>
        <w:rPr>
          <w:b w:val="0"/>
        </w:rPr>
        <w:t>Le même enchaînement est appliqué séparément aux secteurs de chaque marché. N vaut 13 pour EU et 12 pour US. Les comparaisons sectorielles utilisent uniquement l’univers du marché concerné.</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720"/>
        <w:gridCol w:w="1944"/>
        <w:gridCol w:w="1944"/>
        <w:gridCol w:w="5616"/>
      </w:tblGrid>
      <w:tr>
        <w:trPr>
          <w:cantSplit/>
          <w:tblHeader/>
        </w:trPr>
        <w:tc>
          <w:tcPr>
            <w:tcW w:type="dxa" w:w="720"/>
            <w:vAlign w:val="center"/>
            <w:shd w:fill="E8E8E8"/>
          </w:tcPr>
          <w:p>
            <w:pPr>
              <w:spacing w:after="40" w:before="40" w:line="240" w:lineRule="auto"/>
            </w:pPr>
            <w:r>
              <w:rPr>
                <w:rFonts w:ascii="Calibri" w:hAnsi="Calibri"/>
                <w:b/>
                <w:sz w:val="19"/>
              </w:rPr>
              <w:t>Ordre</w:t>
            </w:r>
          </w:p>
        </w:tc>
        <w:tc>
          <w:tcPr>
            <w:tcW w:type="dxa" w:w="1944"/>
            <w:vAlign w:val="center"/>
            <w:shd w:fill="E8E8E8"/>
          </w:tcPr>
          <w:p>
            <w:pPr>
              <w:spacing w:after="40" w:before="40" w:line="240" w:lineRule="auto"/>
            </w:pPr>
            <w:r>
              <w:rPr>
                <w:rFonts w:ascii="Calibri" w:hAnsi="Calibri"/>
                <w:b/>
                <w:sz w:val="19"/>
              </w:rPr>
              <w:t>EU</w:t>
            </w:r>
          </w:p>
        </w:tc>
        <w:tc>
          <w:tcPr>
            <w:tcW w:type="dxa" w:w="1944"/>
            <w:vAlign w:val="center"/>
            <w:shd w:fill="E8E8E8"/>
          </w:tcPr>
          <w:p>
            <w:pPr>
              <w:spacing w:after="40" w:before="40" w:line="240" w:lineRule="auto"/>
            </w:pPr>
            <w:r>
              <w:rPr>
                <w:rFonts w:ascii="Calibri" w:hAnsi="Calibri"/>
                <w:b/>
                <w:sz w:val="19"/>
              </w:rPr>
              <w:t>US</w:t>
            </w:r>
          </w:p>
        </w:tc>
        <w:tc>
          <w:tcPr>
            <w:tcW w:type="dxa" w:w="5616"/>
            <w:vAlign w:val="center"/>
            <w:shd w:fill="E8E8E8"/>
          </w:tcPr>
          <w:p>
            <w:pPr>
              <w:spacing w:after="40" w:before="40" w:line="240" w:lineRule="auto"/>
            </w:pPr>
            <w:r>
              <w:rPr>
                <w:rFonts w:ascii="Calibri" w:hAnsi="Calibri"/>
                <w:b/>
                <w:sz w:val="19"/>
              </w:rPr>
              <w:t>Règle particulière</w:t>
            </w:r>
          </w:p>
        </w:tc>
      </w:tr>
      <w:tr>
        <w:trPr>
          <w:cantSplit/>
        </w:trPr>
        <w:tc>
          <w:tcPr>
            <w:tcW w:type="dxa" w:w="720"/>
            <w:vAlign w:val="center"/>
          </w:tcPr>
          <w:p>
            <w:pPr>
              <w:spacing w:after="40" w:before="40" w:line="240" w:lineRule="auto"/>
            </w:pPr>
            <w:r>
              <w:rPr>
                <w:rFonts w:ascii="Calibri" w:hAnsi="Calibri"/>
                <w:b w:val="0"/>
                <w:sz w:val="19"/>
              </w:rPr>
              <w:t>1</w:t>
            </w:r>
          </w:p>
        </w:tc>
        <w:tc>
          <w:tcPr>
            <w:tcW w:type="dxa" w:w="1944"/>
            <w:vAlign w:val="center"/>
          </w:tcPr>
          <w:p>
            <w:pPr>
              <w:spacing w:after="40" w:before="40" w:line="240" w:lineRule="auto"/>
            </w:pPr>
            <w:r>
              <w:rPr>
                <w:rFonts w:ascii="Calibri" w:hAnsi="Calibri"/>
                <w:b w:val="0"/>
                <w:sz w:val="19"/>
              </w:rPr>
              <w:t>Materials</w:t>
            </w:r>
          </w:p>
        </w:tc>
        <w:tc>
          <w:tcPr>
            <w:tcW w:type="dxa" w:w="1944"/>
            <w:vAlign w:val="center"/>
          </w:tcPr>
          <w:p>
            <w:pPr>
              <w:spacing w:after="40" w:before="40" w:line="240" w:lineRule="auto"/>
            </w:pPr>
            <w:r>
              <w:rPr>
                <w:rFonts w:ascii="Calibri" w:hAnsi="Calibri"/>
                <w:b w:val="0"/>
                <w:sz w:val="19"/>
              </w:rPr>
              <w:t>Materials</w:t>
            </w:r>
          </w:p>
        </w:tc>
        <w:tc>
          <w:tcPr>
            <w:tcW w:type="dxa" w:w="5616"/>
            <w:vAlign w:val="center"/>
          </w:tcPr>
          <w:p>
            <w:pPr>
              <w:spacing w:after="40" w:before="40" w:line="240" w:lineRule="auto"/>
            </w:pPr>
            <w:r>
              <w:rPr>
                <w:rFonts w:ascii="Calibri" w:hAnsi="Calibri"/>
                <w:b w:val="0"/>
                <w:sz w:val="19"/>
              </w:rPr>
              <w:t>Composition standard</w:t>
            </w:r>
          </w:p>
        </w:tc>
      </w:tr>
      <w:tr>
        <w:trPr>
          <w:cantSplit/>
        </w:trPr>
        <w:tc>
          <w:tcPr>
            <w:tcW w:type="dxa" w:w="720"/>
            <w:vAlign w:val="center"/>
            <w:shd w:fill="F7F7F7"/>
          </w:tcPr>
          <w:p>
            <w:pPr>
              <w:spacing w:after="40" w:before="40" w:line="240" w:lineRule="auto"/>
            </w:pPr>
            <w:r>
              <w:rPr>
                <w:rFonts w:ascii="Calibri" w:hAnsi="Calibri"/>
                <w:b w:val="0"/>
                <w:sz w:val="19"/>
              </w:rPr>
              <w:t>2</w:t>
            </w:r>
          </w:p>
        </w:tc>
        <w:tc>
          <w:tcPr>
            <w:tcW w:type="dxa" w:w="1944"/>
            <w:vAlign w:val="center"/>
            <w:shd w:fill="F7F7F7"/>
          </w:tcPr>
          <w:p>
            <w:pPr>
              <w:spacing w:after="40" w:before="40" w:line="240" w:lineRule="auto"/>
            </w:pPr>
            <w:r>
              <w:rPr>
                <w:rFonts w:ascii="Calibri" w:hAnsi="Calibri"/>
                <w:b w:val="0"/>
                <w:sz w:val="19"/>
              </w:rPr>
              <w:t>ConsStaples</w:t>
            </w:r>
          </w:p>
        </w:tc>
        <w:tc>
          <w:tcPr>
            <w:tcW w:type="dxa" w:w="1944"/>
            <w:vAlign w:val="center"/>
            <w:shd w:fill="F7F7F7"/>
          </w:tcPr>
          <w:p>
            <w:pPr>
              <w:spacing w:after="40" w:before="40" w:line="240" w:lineRule="auto"/>
            </w:pPr>
            <w:r>
              <w:rPr>
                <w:rFonts w:ascii="Calibri" w:hAnsi="Calibri"/>
                <w:b w:val="0"/>
                <w:sz w:val="19"/>
              </w:rPr>
              <w:t>ConsStaples</w:t>
            </w:r>
          </w:p>
        </w:tc>
        <w:tc>
          <w:tcPr>
            <w:tcW w:type="dxa" w:w="5616"/>
            <w:vAlign w:val="center"/>
            <w:shd w:fill="F7F7F7"/>
          </w:tcPr>
          <w:p>
            <w:pPr>
              <w:spacing w:after="40" w:before="40" w:line="240" w:lineRule="auto"/>
            </w:pPr>
            <w:r>
              <w:rPr>
                <w:rFonts w:ascii="Calibri" w:hAnsi="Calibri"/>
                <w:b w:val="0"/>
                <w:sz w:val="19"/>
              </w:rPr>
              <w:t>Composition standard</w:t>
            </w:r>
          </w:p>
        </w:tc>
      </w:tr>
      <w:tr>
        <w:trPr>
          <w:cantSplit/>
        </w:trPr>
        <w:tc>
          <w:tcPr>
            <w:tcW w:type="dxa" w:w="720"/>
            <w:vAlign w:val="center"/>
          </w:tcPr>
          <w:p>
            <w:pPr>
              <w:spacing w:after="40" w:before="40" w:line="240" w:lineRule="auto"/>
            </w:pPr>
            <w:r>
              <w:rPr>
                <w:rFonts w:ascii="Calibri" w:hAnsi="Calibri"/>
                <w:b w:val="0"/>
                <w:sz w:val="19"/>
              </w:rPr>
              <w:t>3</w:t>
            </w:r>
          </w:p>
        </w:tc>
        <w:tc>
          <w:tcPr>
            <w:tcW w:type="dxa" w:w="1944"/>
            <w:vAlign w:val="center"/>
          </w:tcPr>
          <w:p>
            <w:pPr>
              <w:spacing w:after="40" w:before="40" w:line="240" w:lineRule="auto"/>
            </w:pPr>
            <w:r>
              <w:rPr>
                <w:rFonts w:ascii="Calibri" w:hAnsi="Calibri"/>
                <w:b w:val="0"/>
                <w:sz w:val="19"/>
              </w:rPr>
              <w:t>Pers. Goods</w:t>
            </w:r>
          </w:p>
        </w:tc>
        <w:tc>
          <w:tcPr>
            <w:tcW w:type="dxa" w:w="1944"/>
            <w:vAlign w:val="center"/>
          </w:tcPr>
          <w:p>
            <w:pPr>
              <w:spacing w:after="40" w:before="40" w:line="240" w:lineRule="auto"/>
            </w:pPr>
            <w:r>
              <w:rPr>
                <w:rFonts w:ascii="Calibri" w:hAnsi="Calibri"/>
                <w:b w:val="0"/>
                <w:sz w:val="19"/>
              </w:rPr>
              <w:t>Retail</w:t>
            </w:r>
          </w:p>
        </w:tc>
        <w:tc>
          <w:tcPr>
            <w:tcW w:type="dxa" w:w="5616"/>
            <w:vAlign w:val="center"/>
          </w:tcPr>
          <w:p>
            <w:pPr>
              <w:spacing w:after="40" w:before="40" w:line="240" w:lineRule="auto"/>
            </w:pPr>
            <w:r>
              <w:rPr>
                <w:rFonts w:ascii="Calibri" w:hAnsi="Calibri"/>
                <w:b w:val="0"/>
                <w:sz w:val="19"/>
              </w:rPr>
              <w:t>Composition standard</w:t>
            </w:r>
          </w:p>
        </w:tc>
      </w:tr>
      <w:tr>
        <w:trPr>
          <w:cantSplit/>
        </w:trPr>
        <w:tc>
          <w:tcPr>
            <w:tcW w:type="dxa" w:w="720"/>
            <w:vAlign w:val="center"/>
            <w:shd w:fill="F7F7F7"/>
          </w:tcPr>
          <w:p>
            <w:pPr>
              <w:spacing w:after="40" w:before="40" w:line="240" w:lineRule="auto"/>
            </w:pPr>
            <w:r>
              <w:rPr>
                <w:rFonts w:ascii="Calibri" w:hAnsi="Calibri"/>
                <w:b w:val="0"/>
                <w:sz w:val="19"/>
              </w:rPr>
              <w:t>4</w:t>
            </w:r>
          </w:p>
        </w:tc>
        <w:tc>
          <w:tcPr>
            <w:tcW w:type="dxa" w:w="1944"/>
            <w:vAlign w:val="center"/>
            <w:shd w:fill="F7F7F7"/>
          </w:tcPr>
          <w:p>
            <w:pPr>
              <w:spacing w:after="40" w:before="40" w:line="240" w:lineRule="auto"/>
            </w:pPr>
            <w:r>
              <w:rPr>
                <w:rFonts w:ascii="Calibri" w:hAnsi="Calibri"/>
                <w:b w:val="0"/>
                <w:sz w:val="19"/>
              </w:rPr>
              <w:t>Fin</w:t>
            </w:r>
          </w:p>
        </w:tc>
        <w:tc>
          <w:tcPr>
            <w:tcW w:type="dxa" w:w="1944"/>
            <w:vAlign w:val="center"/>
            <w:shd w:fill="F7F7F7"/>
          </w:tcPr>
          <w:p>
            <w:pPr>
              <w:spacing w:after="40" w:before="40" w:line="240" w:lineRule="auto"/>
            </w:pPr>
            <w:r>
              <w:rPr>
                <w:rFonts w:ascii="Calibri" w:hAnsi="Calibri"/>
                <w:b w:val="0"/>
                <w:sz w:val="19"/>
              </w:rPr>
              <w:t>Fin</w:t>
            </w:r>
          </w:p>
        </w:tc>
        <w:tc>
          <w:tcPr>
            <w:tcW w:type="dxa" w:w="5616"/>
            <w:vAlign w:val="center"/>
            <w:shd w:fill="F7F7F7"/>
          </w:tcPr>
          <w:p>
            <w:pPr>
              <w:spacing w:after="40" w:before="40" w:line="240" w:lineRule="auto"/>
            </w:pPr>
            <w:r>
              <w:rPr>
                <w:rFonts w:ascii="Calibri" w:hAnsi="Calibri"/>
                <w:b w:val="0"/>
                <w:sz w:val="19"/>
              </w:rPr>
              <w:t>Value et Growth spécifiques ; certaines moyennes excluent Fin</w:t>
            </w:r>
          </w:p>
        </w:tc>
      </w:tr>
      <w:tr>
        <w:trPr>
          <w:cantSplit/>
        </w:trPr>
        <w:tc>
          <w:tcPr>
            <w:tcW w:type="dxa" w:w="720"/>
            <w:vAlign w:val="center"/>
          </w:tcPr>
          <w:p>
            <w:pPr>
              <w:spacing w:after="40" w:before="40" w:line="240" w:lineRule="auto"/>
            </w:pPr>
            <w:r>
              <w:rPr>
                <w:rFonts w:ascii="Calibri" w:hAnsi="Calibri"/>
                <w:b w:val="0"/>
                <w:sz w:val="19"/>
              </w:rPr>
              <w:t>5</w:t>
            </w:r>
          </w:p>
        </w:tc>
        <w:tc>
          <w:tcPr>
            <w:tcW w:type="dxa" w:w="1944"/>
            <w:vAlign w:val="center"/>
          </w:tcPr>
          <w:p>
            <w:pPr>
              <w:spacing w:after="40" w:before="40" w:line="240" w:lineRule="auto"/>
            </w:pPr>
            <w:r>
              <w:rPr>
                <w:rFonts w:ascii="Calibri" w:hAnsi="Calibri"/>
                <w:b w:val="0"/>
                <w:sz w:val="19"/>
              </w:rPr>
              <w:t>HealthCare</w:t>
            </w:r>
          </w:p>
        </w:tc>
        <w:tc>
          <w:tcPr>
            <w:tcW w:type="dxa" w:w="1944"/>
            <w:vAlign w:val="center"/>
          </w:tcPr>
          <w:p>
            <w:pPr>
              <w:spacing w:after="40" w:before="40" w:line="240" w:lineRule="auto"/>
            </w:pPr>
            <w:r>
              <w:rPr>
                <w:rFonts w:ascii="Calibri" w:hAnsi="Calibri"/>
                <w:b w:val="0"/>
                <w:sz w:val="19"/>
              </w:rPr>
              <w:t>HealthCare</w:t>
            </w:r>
          </w:p>
        </w:tc>
        <w:tc>
          <w:tcPr>
            <w:tcW w:type="dxa" w:w="5616"/>
            <w:vAlign w:val="center"/>
          </w:tcPr>
          <w:p>
            <w:pPr>
              <w:spacing w:after="40" w:before="40" w:line="240" w:lineRule="auto"/>
            </w:pPr>
            <w:r>
              <w:rPr>
                <w:rFonts w:ascii="Calibri" w:hAnsi="Calibri"/>
                <w:b w:val="0"/>
                <w:sz w:val="19"/>
              </w:rPr>
              <w:t>Composition standard</w:t>
            </w:r>
          </w:p>
        </w:tc>
      </w:tr>
      <w:tr>
        <w:trPr>
          <w:cantSplit/>
        </w:trPr>
        <w:tc>
          <w:tcPr>
            <w:tcW w:type="dxa" w:w="720"/>
            <w:vAlign w:val="center"/>
            <w:shd w:fill="F7F7F7"/>
          </w:tcPr>
          <w:p>
            <w:pPr>
              <w:spacing w:after="40" w:before="40" w:line="240" w:lineRule="auto"/>
            </w:pPr>
            <w:r>
              <w:rPr>
                <w:rFonts w:ascii="Calibri" w:hAnsi="Calibri"/>
                <w:b w:val="0"/>
                <w:sz w:val="19"/>
              </w:rPr>
              <w:t>6</w:t>
            </w:r>
          </w:p>
        </w:tc>
        <w:tc>
          <w:tcPr>
            <w:tcW w:type="dxa" w:w="1944"/>
            <w:vAlign w:val="center"/>
            <w:shd w:fill="F7F7F7"/>
          </w:tcPr>
          <w:p>
            <w:pPr>
              <w:spacing w:after="40" w:before="40" w:line="240" w:lineRule="auto"/>
            </w:pPr>
            <w:r>
              <w:rPr>
                <w:rFonts w:ascii="Calibri" w:hAnsi="Calibri"/>
                <w:b w:val="0"/>
                <w:sz w:val="19"/>
              </w:rPr>
              <w:t>Indus</w:t>
            </w:r>
          </w:p>
        </w:tc>
        <w:tc>
          <w:tcPr>
            <w:tcW w:type="dxa" w:w="1944"/>
            <w:vAlign w:val="center"/>
            <w:shd w:fill="F7F7F7"/>
          </w:tcPr>
          <w:p>
            <w:pPr>
              <w:spacing w:after="40" w:before="40" w:line="240" w:lineRule="auto"/>
            </w:pPr>
            <w:r>
              <w:rPr>
                <w:rFonts w:ascii="Calibri" w:hAnsi="Calibri"/>
                <w:b w:val="0"/>
                <w:sz w:val="19"/>
              </w:rPr>
              <w:t>Indus</w:t>
            </w:r>
          </w:p>
        </w:tc>
        <w:tc>
          <w:tcPr>
            <w:tcW w:type="dxa" w:w="5616"/>
            <w:vAlign w:val="center"/>
            <w:shd w:fill="F7F7F7"/>
          </w:tcPr>
          <w:p>
            <w:pPr>
              <w:spacing w:after="40" w:before="40" w:line="240" w:lineRule="auto"/>
            </w:pPr>
            <w:r>
              <w:rPr>
                <w:rFonts w:ascii="Calibri" w:hAnsi="Calibri"/>
                <w:b w:val="0"/>
                <w:sz w:val="19"/>
              </w:rPr>
              <w:t>Composition standard</w:t>
            </w:r>
          </w:p>
        </w:tc>
      </w:tr>
      <w:tr>
        <w:trPr>
          <w:cantSplit/>
        </w:trPr>
        <w:tc>
          <w:tcPr>
            <w:tcW w:type="dxa" w:w="720"/>
            <w:vAlign w:val="center"/>
          </w:tcPr>
          <w:p>
            <w:pPr>
              <w:spacing w:after="40" w:before="40" w:line="240" w:lineRule="auto"/>
            </w:pPr>
            <w:r>
              <w:rPr>
                <w:rFonts w:ascii="Calibri" w:hAnsi="Calibri"/>
                <w:b w:val="0"/>
                <w:sz w:val="19"/>
              </w:rPr>
              <w:t>7</w:t>
            </w:r>
          </w:p>
        </w:tc>
        <w:tc>
          <w:tcPr>
            <w:tcW w:type="dxa" w:w="1944"/>
            <w:vAlign w:val="center"/>
          </w:tcPr>
          <w:p>
            <w:pPr>
              <w:spacing w:after="40" w:before="40" w:line="240" w:lineRule="auto"/>
            </w:pPr>
            <w:r>
              <w:rPr>
                <w:rFonts w:ascii="Calibri" w:hAnsi="Calibri"/>
                <w:b w:val="0"/>
                <w:sz w:val="19"/>
              </w:rPr>
              <w:t>Oil</w:t>
            </w:r>
          </w:p>
        </w:tc>
        <w:tc>
          <w:tcPr>
            <w:tcW w:type="dxa" w:w="1944"/>
            <w:vAlign w:val="center"/>
          </w:tcPr>
          <w:p>
            <w:pPr>
              <w:spacing w:after="40" w:before="40" w:line="240" w:lineRule="auto"/>
            </w:pPr>
            <w:r>
              <w:rPr>
                <w:rFonts w:ascii="Calibri" w:hAnsi="Calibri"/>
                <w:b w:val="0"/>
                <w:sz w:val="19"/>
              </w:rPr>
              <w:t>Oil</w:t>
            </w:r>
          </w:p>
        </w:tc>
        <w:tc>
          <w:tcPr>
            <w:tcW w:type="dxa" w:w="5616"/>
            <w:vAlign w:val="center"/>
          </w:tcPr>
          <w:p>
            <w:pPr>
              <w:spacing w:after="40" w:before="40" w:line="240" w:lineRule="auto"/>
            </w:pPr>
            <w:r>
              <w:rPr>
                <w:rFonts w:ascii="Calibri" w:hAnsi="Calibri"/>
                <w:b w:val="0"/>
                <w:sz w:val="19"/>
              </w:rPr>
              <w:t>Composition standard</w:t>
            </w:r>
          </w:p>
        </w:tc>
      </w:tr>
      <w:tr>
        <w:trPr>
          <w:cantSplit/>
        </w:trPr>
        <w:tc>
          <w:tcPr>
            <w:tcW w:type="dxa" w:w="720"/>
            <w:vAlign w:val="center"/>
            <w:shd w:fill="F7F7F7"/>
          </w:tcPr>
          <w:p>
            <w:pPr>
              <w:spacing w:after="40" w:before="40" w:line="240" w:lineRule="auto"/>
            </w:pPr>
            <w:r>
              <w:rPr>
                <w:rFonts w:ascii="Calibri" w:hAnsi="Calibri"/>
                <w:b w:val="0"/>
                <w:sz w:val="19"/>
              </w:rPr>
              <w:t>8</w:t>
            </w:r>
          </w:p>
        </w:tc>
        <w:tc>
          <w:tcPr>
            <w:tcW w:type="dxa" w:w="1944"/>
            <w:vAlign w:val="center"/>
            <w:shd w:fill="F7F7F7"/>
          </w:tcPr>
          <w:p>
            <w:pPr>
              <w:spacing w:after="40" w:before="40" w:line="240" w:lineRule="auto"/>
            </w:pPr>
            <w:r>
              <w:rPr>
                <w:rFonts w:ascii="Calibri" w:hAnsi="Calibri"/>
                <w:b w:val="0"/>
                <w:sz w:val="19"/>
              </w:rPr>
              <w:t>Tech</w:t>
            </w:r>
          </w:p>
        </w:tc>
        <w:tc>
          <w:tcPr>
            <w:tcW w:type="dxa" w:w="1944"/>
            <w:vAlign w:val="center"/>
            <w:shd w:fill="F7F7F7"/>
          </w:tcPr>
          <w:p>
            <w:pPr>
              <w:spacing w:after="40" w:before="40" w:line="240" w:lineRule="auto"/>
            </w:pPr>
            <w:r>
              <w:rPr>
                <w:rFonts w:ascii="Calibri" w:hAnsi="Calibri"/>
                <w:b w:val="0"/>
                <w:sz w:val="19"/>
              </w:rPr>
              <w:t>Tech</w:t>
            </w:r>
          </w:p>
        </w:tc>
        <w:tc>
          <w:tcPr>
            <w:tcW w:type="dxa" w:w="5616"/>
            <w:vAlign w:val="center"/>
            <w:shd w:fill="F7F7F7"/>
          </w:tcPr>
          <w:p>
            <w:pPr>
              <w:spacing w:after="40" w:before="40" w:line="240" w:lineRule="auto"/>
            </w:pPr>
            <w:r>
              <w:rPr>
                <w:rFonts w:ascii="Calibri" w:hAnsi="Calibri"/>
                <w:b w:val="0"/>
                <w:sz w:val="19"/>
              </w:rPr>
              <w:t>Value sur 37 observations ; momentum avec le prix courant</w:t>
            </w:r>
          </w:p>
        </w:tc>
      </w:tr>
      <w:tr>
        <w:trPr>
          <w:cantSplit/>
        </w:trPr>
        <w:tc>
          <w:tcPr>
            <w:tcW w:type="dxa" w:w="720"/>
            <w:vAlign w:val="center"/>
          </w:tcPr>
          <w:p>
            <w:pPr>
              <w:spacing w:after="40" w:before="40" w:line="240" w:lineRule="auto"/>
            </w:pPr>
            <w:r>
              <w:rPr>
                <w:rFonts w:ascii="Calibri" w:hAnsi="Calibri"/>
                <w:b w:val="0"/>
                <w:sz w:val="19"/>
              </w:rPr>
              <w:t>9</w:t>
            </w:r>
          </w:p>
        </w:tc>
        <w:tc>
          <w:tcPr>
            <w:tcW w:type="dxa" w:w="1944"/>
            <w:vAlign w:val="center"/>
          </w:tcPr>
          <w:p>
            <w:pPr>
              <w:spacing w:after="40" w:before="40" w:line="240" w:lineRule="auto"/>
            </w:pPr>
            <w:r>
              <w:rPr>
                <w:rFonts w:ascii="Calibri" w:hAnsi="Calibri"/>
                <w:b w:val="0"/>
                <w:sz w:val="19"/>
              </w:rPr>
              <w:t>Telco</w:t>
            </w:r>
          </w:p>
        </w:tc>
        <w:tc>
          <w:tcPr>
            <w:tcW w:type="dxa" w:w="1944"/>
            <w:vAlign w:val="center"/>
          </w:tcPr>
          <w:p>
            <w:pPr>
              <w:spacing w:after="40" w:before="40" w:line="240" w:lineRule="auto"/>
            </w:pPr>
            <w:r>
              <w:rPr>
                <w:rFonts w:ascii="Calibri" w:hAnsi="Calibri"/>
                <w:b w:val="0"/>
                <w:sz w:val="19"/>
              </w:rPr>
              <w:t>Telco</w:t>
            </w:r>
          </w:p>
        </w:tc>
        <w:tc>
          <w:tcPr>
            <w:tcW w:type="dxa" w:w="5616"/>
            <w:vAlign w:val="center"/>
          </w:tcPr>
          <w:p>
            <w:pPr>
              <w:spacing w:after="40" w:before="40" w:line="240" w:lineRule="auto"/>
            </w:pPr>
            <w:r>
              <w:rPr>
                <w:rFonts w:ascii="Calibri" w:hAnsi="Calibri"/>
                <w:b w:val="0"/>
                <w:sz w:val="19"/>
              </w:rPr>
              <w:t>Composition standard</w:t>
            </w:r>
          </w:p>
        </w:tc>
      </w:tr>
      <w:tr>
        <w:trPr>
          <w:cantSplit/>
        </w:trPr>
        <w:tc>
          <w:tcPr>
            <w:tcW w:type="dxa" w:w="720"/>
            <w:vAlign w:val="center"/>
            <w:shd w:fill="F7F7F7"/>
          </w:tcPr>
          <w:p>
            <w:pPr>
              <w:spacing w:after="40" w:before="40" w:line="240" w:lineRule="auto"/>
            </w:pPr>
            <w:r>
              <w:rPr>
                <w:rFonts w:ascii="Calibri" w:hAnsi="Calibri"/>
                <w:b w:val="0"/>
                <w:sz w:val="19"/>
              </w:rPr>
              <w:t>10</w:t>
            </w:r>
          </w:p>
        </w:tc>
        <w:tc>
          <w:tcPr>
            <w:tcW w:type="dxa" w:w="1944"/>
            <w:vAlign w:val="center"/>
            <w:shd w:fill="F7F7F7"/>
          </w:tcPr>
          <w:p>
            <w:pPr>
              <w:spacing w:after="40" w:before="40" w:line="240" w:lineRule="auto"/>
            </w:pPr>
            <w:r>
              <w:rPr>
                <w:rFonts w:ascii="Calibri" w:hAnsi="Calibri"/>
                <w:b w:val="0"/>
                <w:sz w:val="19"/>
              </w:rPr>
              <w:t>Utili</w:t>
            </w:r>
          </w:p>
        </w:tc>
        <w:tc>
          <w:tcPr>
            <w:tcW w:type="dxa" w:w="1944"/>
            <w:vAlign w:val="center"/>
            <w:shd w:fill="F7F7F7"/>
          </w:tcPr>
          <w:p>
            <w:pPr>
              <w:spacing w:after="40" w:before="40" w:line="240" w:lineRule="auto"/>
            </w:pPr>
            <w:r>
              <w:rPr>
                <w:rFonts w:ascii="Calibri" w:hAnsi="Calibri"/>
                <w:b w:val="0"/>
                <w:sz w:val="19"/>
              </w:rPr>
              <w:t>Utili</w:t>
            </w:r>
          </w:p>
        </w:tc>
        <w:tc>
          <w:tcPr>
            <w:tcW w:type="dxa" w:w="5616"/>
            <w:vAlign w:val="center"/>
            <w:shd w:fill="F7F7F7"/>
          </w:tcPr>
          <w:p>
            <w:pPr>
              <w:spacing w:after="40" w:before="40" w:line="240" w:lineRule="auto"/>
            </w:pPr>
            <w:r>
              <w:rPr>
                <w:rFonts w:ascii="Calibri" w:hAnsi="Calibri"/>
                <w:b w:val="0"/>
                <w:sz w:val="19"/>
              </w:rPr>
              <w:t>Composition standard</w:t>
            </w:r>
          </w:p>
        </w:tc>
      </w:tr>
      <w:tr>
        <w:trPr>
          <w:cantSplit/>
        </w:trPr>
        <w:tc>
          <w:tcPr>
            <w:tcW w:type="dxa" w:w="720"/>
            <w:vAlign w:val="center"/>
          </w:tcPr>
          <w:p>
            <w:pPr>
              <w:spacing w:after="40" w:before="40" w:line="240" w:lineRule="auto"/>
            </w:pPr>
            <w:r>
              <w:rPr>
                <w:rFonts w:ascii="Calibri" w:hAnsi="Calibri"/>
                <w:b w:val="0"/>
                <w:sz w:val="19"/>
              </w:rPr>
              <w:t>11</w:t>
            </w:r>
          </w:p>
        </w:tc>
        <w:tc>
          <w:tcPr>
            <w:tcW w:type="dxa" w:w="1944"/>
            <w:vAlign w:val="center"/>
          </w:tcPr>
          <w:p>
            <w:pPr>
              <w:spacing w:after="40" w:before="40" w:line="240" w:lineRule="auto"/>
            </w:pPr>
            <w:r>
              <w:rPr>
                <w:rFonts w:ascii="Calibri" w:hAnsi="Calibri"/>
                <w:b w:val="0"/>
                <w:sz w:val="19"/>
              </w:rPr>
              <w:t>Travel &amp; leisure</w:t>
            </w:r>
          </w:p>
        </w:tc>
        <w:tc>
          <w:tcPr>
            <w:tcW w:type="dxa" w:w="1944"/>
            <w:vAlign w:val="center"/>
          </w:tcPr>
          <w:p>
            <w:pPr>
              <w:spacing w:after="40" w:before="40" w:line="240" w:lineRule="auto"/>
            </w:pPr>
            <w:r>
              <w:rPr>
                <w:rFonts w:ascii="Calibri" w:hAnsi="Calibri"/>
                <w:b w:val="0"/>
                <w:sz w:val="19"/>
              </w:rPr>
              <w:t>Travel &amp; leisure</w:t>
            </w:r>
          </w:p>
        </w:tc>
        <w:tc>
          <w:tcPr>
            <w:tcW w:type="dxa" w:w="5616"/>
            <w:vAlign w:val="center"/>
          </w:tcPr>
          <w:p>
            <w:pPr>
              <w:spacing w:after="40" w:before="40" w:line="240" w:lineRule="auto"/>
            </w:pPr>
            <w:r>
              <w:rPr>
                <w:rFonts w:ascii="Calibri" w:hAnsi="Calibri"/>
                <w:b w:val="0"/>
                <w:sz w:val="19"/>
              </w:rPr>
              <w:t>Votes forcés à zéro depuis octobre 2011</w:t>
            </w:r>
          </w:p>
        </w:tc>
      </w:tr>
      <w:tr>
        <w:trPr>
          <w:cantSplit/>
        </w:trPr>
        <w:tc>
          <w:tcPr>
            <w:tcW w:type="dxa" w:w="720"/>
            <w:vAlign w:val="center"/>
            <w:shd w:fill="F7F7F7"/>
          </w:tcPr>
          <w:p>
            <w:pPr>
              <w:spacing w:after="40" w:before="40" w:line="240" w:lineRule="auto"/>
            </w:pPr>
            <w:r>
              <w:rPr>
                <w:rFonts w:ascii="Calibri" w:hAnsi="Calibri"/>
                <w:b w:val="0"/>
                <w:sz w:val="19"/>
              </w:rPr>
              <w:t>12</w:t>
            </w:r>
          </w:p>
        </w:tc>
        <w:tc>
          <w:tcPr>
            <w:tcW w:type="dxa" w:w="1944"/>
            <w:vAlign w:val="center"/>
            <w:shd w:fill="F7F7F7"/>
          </w:tcPr>
          <w:p>
            <w:pPr>
              <w:spacing w:after="40" w:before="40" w:line="240" w:lineRule="auto"/>
            </w:pPr>
            <w:r>
              <w:rPr>
                <w:rFonts w:ascii="Calibri" w:hAnsi="Calibri"/>
                <w:b w:val="0"/>
                <w:sz w:val="19"/>
              </w:rPr>
              <w:t>Media</w:t>
            </w:r>
          </w:p>
        </w:tc>
        <w:tc>
          <w:tcPr>
            <w:tcW w:type="dxa" w:w="1944"/>
            <w:vAlign w:val="center"/>
            <w:shd w:fill="F7F7F7"/>
          </w:tcPr>
          <w:p>
            <w:pPr>
              <w:spacing w:after="40" w:before="40" w:line="240" w:lineRule="auto"/>
            </w:pPr>
            <w:r>
              <w:rPr>
                <w:rFonts w:ascii="Calibri" w:hAnsi="Calibri"/>
                <w:b w:val="0"/>
                <w:sz w:val="19"/>
              </w:rPr>
              <w:t>Media</w:t>
            </w:r>
          </w:p>
        </w:tc>
        <w:tc>
          <w:tcPr>
            <w:tcW w:type="dxa" w:w="5616"/>
            <w:vAlign w:val="center"/>
            <w:shd w:fill="F7F7F7"/>
          </w:tcPr>
          <w:p>
            <w:pPr>
              <w:spacing w:after="40" w:before="40" w:line="240" w:lineRule="auto"/>
            </w:pPr>
            <w:r>
              <w:rPr>
                <w:rFonts w:ascii="Calibri" w:hAnsi="Calibri"/>
                <w:b w:val="0"/>
                <w:sz w:val="19"/>
              </w:rPr>
              <w:t>Composition standard</w:t>
            </w:r>
          </w:p>
        </w:tc>
      </w:tr>
      <w:tr>
        <w:trPr>
          <w:cantSplit/>
        </w:trPr>
        <w:tc>
          <w:tcPr>
            <w:tcW w:type="dxa" w:w="720"/>
            <w:vAlign w:val="center"/>
          </w:tcPr>
          <w:p>
            <w:pPr>
              <w:spacing w:after="40" w:before="40" w:line="240" w:lineRule="auto"/>
            </w:pPr>
            <w:r>
              <w:rPr>
                <w:rFonts w:ascii="Calibri" w:hAnsi="Calibri"/>
                <w:b w:val="0"/>
                <w:sz w:val="19"/>
              </w:rPr>
              <w:t>13</w:t>
            </w:r>
          </w:p>
        </w:tc>
        <w:tc>
          <w:tcPr>
            <w:tcW w:type="dxa" w:w="1944"/>
            <w:vAlign w:val="center"/>
          </w:tcPr>
          <w:p>
            <w:pPr>
              <w:spacing w:after="40" w:before="40" w:line="240" w:lineRule="auto"/>
            </w:pPr>
            <w:r>
              <w:rPr>
                <w:rFonts w:ascii="Calibri" w:hAnsi="Calibri"/>
                <w:b w:val="0"/>
                <w:sz w:val="19"/>
              </w:rPr>
              <w:t>Auto</w:t>
            </w:r>
          </w:p>
        </w:tc>
        <w:tc>
          <w:tcPr>
            <w:tcW w:type="dxa" w:w="1944"/>
            <w:vAlign w:val="center"/>
          </w:tcPr>
          <w:p>
            <w:pPr>
              <w:spacing w:after="40" w:before="40" w:line="240" w:lineRule="auto"/>
            </w:pPr>
            <w:r>
              <w:rPr>
                <w:rFonts w:ascii="Calibri" w:hAnsi="Calibri"/>
                <w:b w:val="0"/>
                <w:sz w:val="19"/>
              </w:rPr>
              <w:t>—</w:t>
            </w:r>
          </w:p>
        </w:tc>
        <w:tc>
          <w:tcPr>
            <w:tcW w:type="dxa" w:w="5616"/>
            <w:vAlign w:val="center"/>
          </w:tcPr>
          <w:p>
            <w:pPr>
              <w:spacing w:after="40" w:before="40" w:line="240" w:lineRule="auto"/>
            </w:pPr>
            <w:r>
              <w:rPr>
                <w:rFonts w:ascii="Calibri" w:hAnsi="Calibri"/>
                <w:b w:val="0"/>
                <w:sz w:val="19"/>
              </w:rPr>
              <w:t>Composition standard EU</w:t>
            </w:r>
          </w:p>
        </w:tc>
      </w:tr>
    </w:tbl>
    <w:p>
      <w:pPr>
        <w:spacing w:after="0"/>
      </w:pPr>
      <w:r>
        <w:rPr>
          <w:b w:val="0"/>
        </w:rPr>
      </w:r>
    </w:p>
    <w:p>
      <w:pPr>
        <w:pStyle w:val="Heading2"/>
      </w:pPr>
      <w:r>
        <w:t>Trois nombres différents</w:t>
      </w:r>
    </w:p>
    <w:p>
      <w:pPr>
        <w:pStyle w:val="ListBullet"/>
      </w:pPr>
      <w:r>
        <w:rPr>
          <w:b w:val="0"/>
        </w:rPr>
        <w:t>La mesure brute est la donnée économique ou financière : ratio, croissance, rendement ou volatilité.</w:t>
      </w:r>
    </w:p>
    <w:p>
      <w:pPr>
        <w:pStyle w:val="ListBullet"/>
      </w:pPr>
      <w:r>
        <w:rPr>
          <w:b w:val="0"/>
        </w:rPr>
        <w:t>Le sous-score exprime son caractère favorable. Le score du pilier est la moyenne de ses sous-scores sélectionnés.</w:t>
      </w:r>
    </w:p>
    <w:p>
      <w:pPr>
        <w:pStyle w:val="ListBullet"/>
      </w:pPr>
      <w:r>
        <w:rPr>
          <w:b w:val="0"/>
        </w:rPr>
        <w:t>Le rang du pilier compare les secteurs. En interne, 1 est le moins favorable ; un rang élevé est favorable. Dans le scorecard, le rang est inversé : N + 1 − rang interne.</w:t>
      </w:r>
    </w:p>
    <w:p>
      <w:r>
        <w:rPr>
          <w:b w:val="0"/>
        </w:rPr>
        <w:t>Le score global est calculé avec les rangs des piliers. Il n’est donc pas une moyenne directe des mesures brutes ni une note homogène sur 10. Des ex æquo peuvent laisser des rangs non utilisés.</w:t>
      </w:r>
    </w:p>
    <w:p>
      <w:pPr>
        <w:spacing w:before="100" w:after="0"/>
      </w:pPr>
      <w:r>
        <w:rPr>
          <w:b w:val="0"/>
          <w:color w:val="505050"/>
          <w:sz w:val="18"/>
        </w:rPr>
        <w:t>Source : local_config.py → configurations EU / US ; model_secto.py → rank_sectors ; excel_output.py → build_output.</w:t>
      </w:r>
    </w:p>
    <w:p>
      <w:r>
        <w:br w:type="page"/>
      </w:r>
    </w:p>
    <w:p>
      <w:pPr>
        <w:spacing w:after="40"/>
      </w:pPr>
      <w:r>
        <w:rPr>
          <w:b w:val="0"/>
          <w:color w:val="555555"/>
          <w:sz w:val="18"/>
        </w:rPr>
        <w:t>ANNEXE B — MÉTHODE</w:t>
      </w:r>
    </w:p>
    <w:p>
      <w:pPr>
        <w:pStyle w:val="Heading1"/>
      </w:pPr>
      <w:r>
        <w:t>B2. Calcul d’un sous-score historique</w:t>
      </w:r>
    </w:p>
    <w:p>
      <w:pPr>
        <w:pStyle w:val="Heading2"/>
      </w:pPr>
      <w:r>
        <w:t>1 — Centrer la mesure du secteur</w:t>
      </w:r>
    </w:p>
    <w:p>
      <w:r>
        <w:rPr>
          <w:b w:val="0"/>
        </w:rPr>
        <w:t>Pour une variable, un secteur s et un mois t, prendre la mesure brute x(s,t). Calculer la moyenne des secteurs présents, en retirant Fin seulement lorsque la variable le prévoit. Puis calculer l’écart :</w:t>
      </w:r>
    </w:p>
    <w:p>
      <w:pPr>
        <w:spacing w:after="140" w:line="240" w:lineRule="auto"/>
      </w:pPr>
      <w:r>
        <w:rPr>
          <w:rFonts w:ascii="Consolas" w:hAnsi="Consolas"/>
          <w:b w:val="0"/>
          <w:sz w:val="20"/>
        </w:rPr>
        <w:t>d(s,t) = x(s,t) − moyenne des secteurs au mois t</w:t>
      </w:r>
    </w:p>
    <w:p>
      <w:r>
        <w:rPr>
          <w:b w:val="0"/>
        </w:rPr>
        <w:t>Les valeurs absentes sont ignorées dans la moyenne. Exclure Fin de la moyenne ne supprime pas automatiquement son propre sous-score : son écart peut encore être calculé par rapport à cette moyenne.</w:t>
      </w:r>
    </w:p>
    <w:p>
      <w:pPr>
        <w:pStyle w:val="Heading2"/>
      </w:pPr>
      <w:r>
        <w:t>2 — Comparer cet écart à son propre historique</w:t>
      </w:r>
    </w:p>
    <w:p>
      <w:r>
        <w:rPr>
          <w:b w:val="0"/>
        </w:rPr>
        <w:t>La fenêtre habituelle contient 61 observations : le mois courant et les 60 observations précédentes. Pour price_fcf et ev_ebitda de Tech, elle contient 37 observations. Le paramètre vaut 60 ou 36, mais la tranche de calcul inclut le point courant.</w:t>
      </w:r>
    </w:p>
    <w:p>
      <w:pPr>
        <w:spacing w:after="140" w:line="240" w:lineRule="auto"/>
      </w:pPr>
      <w:r>
        <w:rPr>
          <w:rFonts w:ascii="Consolas" w:hAnsi="Consolas"/>
          <w:b w:val="0"/>
          <w:sz w:val="20"/>
        </w:rPr>
        <w:t>H = 10 × rang orienté de d(s,t) / taille de la fenêtre</w:t>
      </w:r>
    </w:p>
    <w:p>
      <w:r>
        <w:rPr>
          <w:b w:val="0"/>
        </w:rPr>
        <w:t>Si une valeur élevée est favorable, le rang vaut 1 + le nombre de valeurs strictement inférieures. Si une valeur faible est favorable, il vaut 1 + le nombre de valeurs strictement supérieures. Le score favorable est toujours le plus élevé.</w:t>
      </w:r>
    </w:p>
    <w:p>
      <w:pPr>
        <w:pStyle w:val="Heading2"/>
      </w:pPr>
      <w:r>
        <w:t>3 — Ajouter parfois le rang entre secteurs</w:t>
      </w:r>
    </w:p>
    <w:p>
      <w:r>
        <w:rPr>
          <w:b w:val="0"/>
        </w:rPr>
        <w:t>Pour les variables marquées H+X, calculer aussi le rang orienté de la mesure brute x(s,t) parmi les secteurs du mois : X = 10 × rang / N. Le sous-score final vaut (H + X) / 2. Pour les variables marquées H, garder H seul.</w:t>
      </w:r>
    </w:p>
    <w:p>
      <w:pPr>
        <w:pStyle w:val="Heading2"/>
      </w:pPr>
      <w:r>
        <w:t>Exemple de lecture</w:t>
      </w:r>
    </w:p>
    <w:p>
      <w:r>
        <w:rPr>
          <w:b w:val="0"/>
        </w:rPr>
        <w:t>Si un écart a le rang favorable 50 sur 61 observations, H vaut 500 / 61, soit environ 8,20. Si la variable mélange H et un rang sectoriel X égal à 7, le sous-score vaut environ 7,60. Cet exemple illustre la formule ; il ne représente pas une observation du projet.</w:t>
      </w:r>
    </w:p>
    <w:p>
      <w:pPr>
        <w:pStyle w:val="Heading2"/>
      </w:pPr>
      <w:r>
        <w:t>Valeurs absentes et ex æquo</w:t>
      </w:r>
    </w:p>
    <w:p>
      <w:r>
        <w:rPr>
          <w:b w:val="0"/>
        </w:rPr>
        <w:t>Une mesure courante absente produit un score absent. La fenêtre doit contenir assez de lignes, mais les valeurs absentes à l’intérieur sont ignorées dans le classement ; le dénominateur reste 61 ou 37. Les ex æquo prennent le même rang minimal, comme 1, 1, 3. Le dénominateur transversal reste N même s’il manque des secteurs.</w:t>
      </w:r>
    </w:p>
    <w:p>
      <w:r>
        <w:rPr>
          <w:b w:val="0"/>
        </w:rPr>
        <w:t>Le score historique minimal n’est pas zéro : il vaut 10 / 61, ou 10 / 37 pour la fenêtre courte. Les fenêtres comptent des observations ; des mois absents ne sont pas créés pour les compléter.</w:t>
      </w:r>
    </w:p>
    <w:p>
      <w:pPr>
        <w:spacing w:before="100" w:after="0"/>
      </w:pPr>
      <w:r>
        <w:rPr>
          <w:b w:val="0"/>
          <w:color w:val="505050"/>
          <w:sz w:val="18"/>
        </w:rPr>
        <w:t>Source : model_secto.py → compute_deviation_from_mean, compute_historical_score, compute_variable_score, excel_rank, cross_sectional_rank.</w:t>
      </w:r>
    </w:p>
    <w:p>
      <w:r>
        <w:br w:type="page"/>
      </w:r>
    </w:p>
    <w:p>
      <w:pPr>
        <w:spacing w:after="40"/>
      </w:pPr>
      <w:r>
        <w:rPr>
          <w:b w:val="0"/>
          <w:color w:val="555555"/>
          <w:sz w:val="18"/>
        </w:rPr>
        <w:t>ANNEXE B — MÉTHODE</w:t>
      </w:r>
    </w:p>
    <w:p>
      <w:pPr>
        <w:pStyle w:val="Heading1"/>
      </w:pPr>
      <w:r>
        <w:t>B3. Variables fondamentales EU</w:t>
      </w:r>
    </w:p>
    <w:p>
      <w:r>
        <w:rPr>
          <w:b w:val="0"/>
        </w:rPr>
        <w:t>H = score historique seul ; H+X = moyenne du score historique et du score transversal. « Bas » ou « Haut » indique le sens favorable. Les colonnes indiquent le début du bloc sectoriel, à partir de la ligne 8.</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2592"/>
        <w:gridCol w:w="2592"/>
        <w:gridCol w:w="720"/>
        <w:gridCol w:w="864"/>
        <w:gridCol w:w="3456"/>
      </w:tblGrid>
      <w:tr>
        <w:trPr>
          <w:cantSplit/>
          <w:tblHeader/>
        </w:trPr>
        <w:tc>
          <w:tcPr>
            <w:tcW w:type="dxa" w:w="2592"/>
            <w:vAlign w:val="center"/>
            <w:shd w:fill="E8E8E8"/>
          </w:tcPr>
          <w:p>
            <w:pPr>
              <w:spacing w:after="40" w:before="40" w:line="240" w:lineRule="auto"/>
            </w:pPr>
            <w:r>
              <w:rPr>
                <w:rFonts w:ascii="Calibri" w:hAnsi="Calibri"/>
                <w:b/>
                <w:sz w:val="20"/>
              </w:rPr>
              <w:t>Pilier / feuille</w:t>
            </w:r>
          </w:p>
        </w:tc>
        <w:tc>
          <w:tcPr>
            <w:tcW w:type="dxa" w:w="2592"/>
            <w:vAlign w:val="center"/>
            <w:shd w:fill="E8E8E8"/>
          </w:tcPr>
          <w:p>
            <w:pPr>
              <w:spacing w:after="40" w:before="40" w:line="240" w:lineRule="auto"/>
            </w:pPr>
            <w:r>
              <w:rPr>
                <w:rFonts w:ascii="Calibri" w:hAnsi="Calibri"/>
                <w:b/>
                <w:sz w:val="20"/>
              </w:rPr>
              <w:t>Variable</w:t>
            </w:r>
          </w:p>
        </w:tc>
        <w:tc>
          <w:tcPr>
            <w:tcW w:type="dxa" w:w="720"/>
            <w:vAlign w:val="center"/>
            <w:shd w:fill="E8E8E8"/>
          </w:tcPr>
          <w:p>
            <w:pPr>
              <w:spacing w:after="40" w:before="40" w:line="240" w:lineRule="auto"/>
            </w:pPr>
            <w:r>
              <w:rPr>
                <w:rFonts w:ascii="Calibri" w:hAnsi="Calibri"/>
                <w:b/>
                <w:sz w:val="20"/>
              </w:rPr>
              <w:t>Col.</w:t>
            </w:r>
          </w:p>
        </w:tc>
        <w:tc>
          <w:tcPr>
            <w:tcW w:type="dxa" w:w="864"/>
            <w:vAlign w:val="center"/>
            <w:shd w:fill="E8E8E8"/>
          </w:tcPr>
          <w:p>
            <w:pPr>
              <w:spacing w:after="40" w:before="40" w:line="240" w:lineRule="auto"/>
            </w:pPr>
            <w:r>
              <w:rPr>
                <w:rFonts w:ascii="Calibri" w:hAnsi="Calibri"/>
                <w:b/>
                <w:sz w:val="20"/>
              </w:rPr>
              <w:t>Sens</w:t>
            </w:r>
          </w:p>
        </w:tc>
        <w:tc>
          <w:tcPr>
            <w:tcW w:type="dxa" w:w="3456"/>
            <w:vAlign w:val="center"/>
            <w:shd w:fill="E8E8E8"/>
          </w:tcPr>
          <w:p>
            <w:pPr>
              <w:spacing w:after="40" w:before="40" w:line="240" w:lineRule="auto"/>
            </w:pPr>
            <w:r>
              <w:rPr>
                <w:rFonts w:ascii="Calibri" w:hAnsi="Calibri"/>
                <w:b/>
                <w:sz w:val="20"/>
              </w:rPr>
              <w:t>Méthode</w:t>
            </w:r>
          </w:p>
        </w:tc>
      </w:tr>
      <w:tr>
        <w:trPr>
          <w:cantSplit/>
        </w:trPr>
        <w:tc>
          <w:tcPr>
            <w:tcW w:type="dxa" w:w="2592"/>
            <w:vAlign w:val="center"/>
          </w:tcPr>
          <w:p>
            <w:pPr>
              <w:spacing w:after="40" w:before="40" w:line="240" w:lineRule="auto"/>
            </w:pPr>
            <w:r>
              <w:rPr>
                <w:rFonts w:ascii="Calibri" w:hAnsi="Calibri"/>
                <w:b w:val="0"/>
                <w:sz w:val="20"/>
              </w:rPr>
              <w:t>Leverage</w:t>
              <w:br/>
              <w:t>Leverage_FMA</w:t>
            </w:r>
          </w:p>
        </w:tc>
        <w:tc>
          <w:tcPr>
            <w:tcW w:type="dxa" w:w="2592"/>
            <w:vAlign w:val="center"/>
          </w:tcPr>
          <w:p>
            <w:pPr>
              <w:spacing w:after="40" w:before="40" w:line="240" w:lineRule="auto"/>
            </w:pPr>
            <w:r>
              <w:rPr>
                <w:rFonts w:ascii="Calibri" w:hAnsi="Calibri"/>
                <w:b w:val="0"/>
                <w:sz w:val="20"/>
              </w:rPr>
              <w:t>net_debt_ebitda</w:t>
            </w:r>
          </w:p>
        </w:tc>
        <w:tc>
          <w:tcPr>
            <w:tcW w:type="dxa" w:w="720"/>
            <w:vAlign w:val="center"/>
          </w:tcPr>
          <w:p>
            <w:pPr>
              <w:spacing w:after="40" w:before="40" w:line="240" w:lineRule="auto"/>
            </w:pPr>
            <w:r>
              <w:rPr>
                <w:rFonts w:ascii="Calibri" w:hAnsi="Calibri"/>
                <w:b w:val="0"/>
                <w:sz w:val="20"/>
              </w:rPr>
              <w:t>AF</w:t>
            </w:r>
          </w:p>
        </w:tc>
        <w:tc>
          <w:tcPr>
            <w:tcW w:type="dxa" w:w="864"/>
            <w:vAlign w:val="center"/>
          </w:tcPr>
          <w:p>
            <w:pPr>
              <w:spacing w:after="40" w:before="40" w:line="240" w:lineRule="auto"/>
            </w:pPr>
            <w:r>
              <w:rPr>
                <w:rFonts w:ascii="Calibri" w:hAnsi="Calibri"/>
                <w:b w:val="0"/>
                <w:sz w:val="20"/>
              </w:rPr>
              <w:t>Bas</w:t>
            </w:r>
          </w:p>
        </w:tc>
        <w:tc>
          <w:tcPr>
            <w:tcW w:type="dxa" w:w="3456"/>
            <w:vAlign w:val="center"/>
          </w:tcPr>
          <w:p>
            <w:pPr>
              <w:spacing w:after="40" w:before="40" w:line="240" w:lineRule="auto"/>
            </w:pPr>
            <w:r>
              <w:rPr>
                <w:rFonts w:ascii="Calibri" w:hAnsi="Calibri"/>
                <w:b w:val="0"/>
                <w:sz w:val="20"/>
              </w:rPr>
              <w:t>H</w:t>
            </w:r>
          </w:p>
        </w:tc>
      </w:tr>
      <w:tr>
        <w:trPr>
          <w:cantSplit/>
        </w:trPr>
        <w:tc>
          <w:tcPr>
            <w:tcW w:type="dxa" w:w="2592"/>
            <w:vAlign w:val="center"/>
            <w:shd w:fill="F7F7F7"/>
          </w:tcPr>
          <w:p>
            <w:pPr>
              <w:spacing w:after="40" w:before="40" w:line="240" w:lineRule="auto"/>
            </w:pPr>
            <w:r>
              <w:rPr>
                <w:rFonts w:ascii="Calibri" w:hAnsi="Calibri"/>
                <w:b w:val="0"/>
                <w:sz w:val="20"/>
              </w:rPr>
            </w:r>
          </w:p>
        </w:tc>
        <w:tc>
          <w:tcPr>
            <w:tcW w:type="dxa" w:w="2592"/>
            <w:vAlign w:val="center"/>
            <w:shd w:fill="F7F7F7"/>
          </w:tcPr>
          <w:p>
            <w:pPr>
              <w:spacing w:after="40" w:before="40" w:line="240" w:lineRule="auto"/>
            </w:pPr>
            <w:r>
              <w:rPr>
                <w:rFonts w:ascii="Calibri" w:hAnsi="Calibri"/>
                <w:b w:val="0"/>
                <w:sz w:val="20"/>
              </w:rPr>
              <w:t>fcf_total_debt</w:t>
            </w:r>
          </w:p>
        </w:tc>
        <w:tc>
          <w:tcPr>
            <w:tcW w:type="dxa" w:w="720"/>
            <w:vAlign w:val="center"/>
            <w:shd w:fill="F7F7F7"/>
          </w:tcPr>
          <w:p>
            <w:pPr>
              <w:spacing w:after="40" w:before="40" w:line="240" w:lineRule="auto"/>
            </w:pPr>
            <w:r>
              <w:rPr>
                <w:rFonts w:ascii="Calibri" w:hAnsi="Calibri"/>
                <w:b w:val="0"/>
                <w:sz w:val="20"/>
              </w:rPr>
              <w:t>FB</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debt_equity</w:t>
            </w:r>
          </w:p>
        </w:tc>
        <w:tc>
          <w:tcPr>
            <w:tcW w:type="dxa" w:w="720"/>
            <w:vAlign w:val="center"/>
          </w:tcPr>
          <w:p>
            <w:pPr>
              <w:spacing w:after="40" w:before="40" w:line="240" w:lineRule="auto"/>
            </w:pPr>
            <w:r>
              <w:rPr>
                <w:rFonts w:ascii="Calibri" w:hAnsi="Calibri"/>
                <w:b w:val="0"/>
                <w:sz w:val="20"/>
              </w:rPr>
              <w:t>GR</w:t>
            </w:r>
          </w:p>
        </w:tc>
        <w:tc>
          <w:tcPr>
            <w:tcW w:type="dxa" w:w="864"/>
            <w:vAlign w:val="center"/>
          </w:tcPr>
          <w:p>
            <w:pPr>
              <w:spacing w:after="40" w:before="40" w:line="240" w:lineRule="auto"/>
            </w:pPr>
            <w:r>
              <w:rPr>
                <w:rFonts w:ascii="Calibri" w:hAnsi="Calibri"/>
                <w:b w:val="0"/>
                <w:sz w:val="20"/>
              </w:rPr>
              <w:t>Bas</w:t>
            </w:r>
          </w:p>
        </w:tc>
        <w:tc>
          <w:tcPr>
            <w:tcW w:type="dxa" w:w="3456"/>
            <w:vAlign w:val="center"/>
          </w:tcPr>
          <w:p>
            <w:pPr>
              <w:spacing w:after="40" w:before="40" w:line="240" w:lineRule="auto"/>
            </w:pPr>
            <w:r>
              <w:rPr>
                <w:rFonts w:ascii="Calibri" w:hAnsi="Calibri"/>
                <w:b w:val="0"/>
                <w:sz w:val="20"/>
              </w:rPr>
              <w:t>H</w:t>
            </w:r>
          </w:p>
        </w:tc>
      </w:tr>
      <w:tr>
        <w:trPr>
          <w:cantSplit/>
        </w:trPr>
        <w:tc>
          <w:tcPr>
            <w:tcW w:type="dxa" w:w="2592"/>
            <w:vAlign w:val="center"/>
            <w:shd w:fill="F7F7F7"/>
          </w:tcPr>
          <w:p>
            <w:pPr>
              <w:spacing w:after="40" w:before="40" w:line="240" w:lineRule="auto"/>
            </w:pPr>
            <w:r>
              <w:rPr>
                <w:rFonts w:ascii="Calibri" w:hAnsi="Calibri"/>
                <w:b w:val="0"/>
                <w:sz w:val="20"/>
              </w:rPr>
              <w:t>Margin</w:t>
              <w:br/>
              <w:t>Margin_FMA</w:t>
            </w:r>
          </w:p>
        </w:tc>
        <w:tc>
          <w:tcPr>
            <w:tcW w:type="dxa" w:w="2592"/>
            <w:vAlign w:val="center"/>
            <w:shd w:fill="F7F7F7"/>
          </w:tcPr>
          <w:p>
            <w:pPr>
              <w:spacing w:after="40" w:before="40" w:line="240" w:lineRule="auto"/>
            </w:pPr>
            <w:r>
              <w:rPr>
                <w:rFonts w:ascii="Calibri" w:hAnsi="Calibri"/>
                <w:b w:val="0"/>
                <w:sz w:val="20"/>
              </w:rPr>
              <w:t>operating_margin</w:t>
            </w:r>
          </w:p>
        </w:tc>
        <w:tc>
          <w:tcPr>
            <w:tcW w:type="dxa" w:w="720"/>
            <w:vAlign w:val="center"/>
            <w:shd w:fill="F7F7F7"/>
          </w:tcPr>
          <w:p>
            <w:pPr>
              <w:spacing w:after="40" w:before="40" w:line="240" w:lineRule="auto"/>
            </w:pPr>
            <w:r>
              <w:rPr>
                <w:rFonts w:ascii="Calibri" w:hAnsi="Calibri"/>
                <w:b w:val="0"/>
                <w:sz w:val="20"/>
              </w:rPr>
              <w:t>BV</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H+X</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net_margin</w:t>
            </w:r>
          </w:p>
        </w:tc>
        <w:tc>
          <w:tcPr>
            <w:tcW w:type="dxa" w:w="720"/>
            <w:vAlign w:val="center"/>
          </w:tcPr>
          <w:p>
            <w:pPr>
              <w:spacing w:after="40" w:before="40" w:line="240" w:lineRule="auto"/>
            </w:pPr>
            <w:r>
              <w:rPr>
                <w:rFonts w:ascii="Calibri" w:hAnsi="Calibri"/>
                <w:b w:val="0"/>
                <w:sz w:val="20"/>
              </w:rPr>
              <w:t>DL</w:t>
            </w:r>
          </w:p>
        </w:tc>
        <w:tc>
          <w:tcPr>
            <w:tcW w:type="dxa" w:w="864"/>
            <w:vAlign w:val="center"/>
          </w:tcPr>
          <w:p>
            <w:pPr>
              <w:spacing w:after="40" w:before="40" w:line="240" w:lineRule="auto"/>
            </w:pPr>
            <w:r>
              <w:rPr>
                <w:rFonts w:ascii="Calibri" w:hAnsi="Calibri"/>
                <w:b w:val="0"/>
                <w:sz w:val="20"/>
              </w:rPr>
              <w:t>Haut</w:t>
            </w:r>
          </w:p>
        </w:tc>
        <w:tc>
          <w:tcPr>
            <w:tcW w:type="dxa" w:w="3456"/>
            <w:vAlign w:val="center"/>
          </w:tcPr>
          <w:p>
            <w:pPr>
              <w:spacing w:after="40" w:before="40" w:line="240" w:lineRule="auto"/>
            </w:pPr>
            <w:r>
              <w:rPr>
                <w:rFonts w:ascii="Calibri" w:hAnsi="Calibri"/>
                <w:b w:val="0"/>
                <w:sz w:val="20"/>
              </w:rPr>
              <w:t>H+X</w:t>
            </w:r>
          </w:p>
        </w:tc>
      </w:tr>
      <w:tr>
        <w:trPr>
          <w:cantSplit/>
        </w:trPr>
        <w:tc>
          <w:tcPr>
            <w:tcW w:type="dxa" w:w="2592"/>
            <w:vAlign w:val="center"/>
            <w:shd w:fill="F7F7F7"/>
          </w:tcPr>
          <w:p>
            <w:pPr>
              <w:spacing w:after="40" w:before="40" w:line="240" w:lineRule="auto"/>
            </w:pPr>
            <w:r>
              <w:rPr>
                <w:rFonts w:ascii="Calibri" w:hAnsi="Calibri"/>
                <w:b w:val="0"/>
                <w:sz w:val="20"/>
              </w:rPr>
            </w:r>
          </w:p>
        </w:tc>
        <w:tc>
          <w:tcPr>
            <w:tcW w:type="dxa" w:w="2592"/>
            <w:vAlign w:val="center"/>
            <w:shd w:fill="F7F7F7"/>
          </w:tcPr>
          <w:p>
            <w:pPr>
              <w:spacing w:after="40" w:before="40" w:line="240" w:lineRule="auto"/>
            </w:pPr>
            <w:r>
              <w:rPr>
                <w:rFonts w:ascii="Calibri" w:hAnsi="Calibri"/>
                <w:b w:val="0"/>
                <w:sz w:val="20"/>
              </w:rPr>
              <w:t>ebitda_margin</w:t>
            </w:r>
          </w:p>
        </w:tc>
        <w:tc>
          <w:tcPr>
            <w:tcW w:type="dxa" w:w="720"/>
            <w:vAlign w:val="center"/>
            <w:shd w:fill="F7F7F7"/>
          </w:tcPr>
          <w:p>
            <w:pPr>
              <w:spacing w:after="40" w:before="40" w:line="240" w:lineRule="auto"/>
            </w:pPr>
            <w:r>
              <w:rPr>
                <w:rFonts w:ascii="Calibri" w:hAnsi="Calibri"/>
                <w:b w:val="0"/>
                <w:sz w:val="20"/>
              </w:rPr>
              <w:t>GR</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H+X</w:t>
            </w:r>
          </w:p>
        </w:tc>
      </w:tr>
      <w:tr>
        <w:trPr>
          <w:cantSplit/>
        </w:trPr>
        <w:tc>
          <w:tcPr>
            <w:tcW w:type="dxa" w:w="2592"/>
            <w:vAlign w:val="center"/>
          </w:tcPr>
          <w:p>
            <w:pPr>
              <w:spacing w:after="40" w:before="40" w:line="240" w:lineRule="auto"/>
            </w:pPr>
            <w:r>
              <w:rPr>
                <w:rFonts w:ascii="Calibri" w:hAnsi="Calibri"/>
                <w:b w:val="0"/>
                <w:sz w:val="20"/>
              </w:rPr>
              <w:t>Value</w:t>
              <w:br/>
              <w:t>Valuation_FMA_hist</w:t>
            </w:r>
          </w:p>
        </w:tc>
        <w:tc>
          <w:tcPr>
            <w:tcW w:type="dxa" w:w="2592"/>
            <w:vAlign w:val="center"/>
          </w:tcPr>
          <w:p>
            <w:pPr>
              <w:spacing w:after="40" w:before="40" w:line="240" w:lineRule="auto"/>
            </w:pPr>
            <w:r>
              <w:rPr>
                <w:rFonts w:ascii="Calibri" w:hAnsi="Calibri"/>
                <w:b w:val="0"/>
                <w:sz w:val="20"/>
              </w:rPr>
              <w:t>price_fcf</w:t>
            </w:r>
          </w:p>
        </w:tc>
        <w:tc>
          <w:tcPr>
            <w:tcW w:type="dxa" w:w="720"/>
            <w:vAlign w:val="center"/>
          </w:tcPr>
          <w:p>
            <w:pPr>
              <w:spacing w:after="40" w:before="40" w:line="240" w:lineRule="auto"/>
            </w:pPr>
            <w:r>
              <w:rPr>
                <w:rFonts w:ascii="Calibri" w:hAnsi="Calibri"/>
                <w:b w:val="0"/>
                <w:sz w:val="20"/>
              </w:rPr>
              <w:t>DL</w:t>
            </w:r>
          </w:p>
        </w:tc>
        <w:tc>
          <w:tcPr>
            <w:tcW w:type="dxa" w:w="864"/>
            <w:vAlign w:val="center"/>
          </w:tcPr>
          <w:p>
            <w:pPr>
              <w:spacing w:after="40" w:before="40" w:line="240" w:lineRule="auto"/>
            </w:pPr>
            <w:r>
              <w:rPr>
                <w:rFonts w:ascii="Calibri" w:hAnsi="Calibri"/>
                <w:b w:val="0"/>
                <w:sz w:val="20"/>
              </w:rPr>
              <w:t>Bas</w:t>
            </w:r>
          </w:p>
        </w:tc>
        <w:tc>
          <w:tcPr>
            <w:tcW w:type="dxa" w:w="3456"/>
            <w:vAlign w:val="center"/>
          </w:tcPr>
          <w:p>
            <w:pPr>
              <w:spacing w:after="40" w:before="40" w:line="240" w:lineRule="auto"/>
            </w:pPr>
            <w:r>
              <w:rPr>
                <w:rFonts w:ascii="Calibri" w:hAnsi="Calibri"/>
                <w:b w:val="0"/>
                <w:sz w:val="20"/>
              </w:rPr>
              <w:t>H ; sans Fin¹</w:t>
            </w:r>
          </w:p>
        </w:tc>
      </w:tr>
      <w:tr>
        <w:trPr>
          <w:cantSplit/>
        </w:trPr>
        <w:tc>
          <w:tcPr>
            <w:tcW w:type="dxa" w:w="2592"/>
            <w:vAlign w:val="center"/>
            <w:shd w:fill="F7F7F7"/>
          </w:tcPr>
          <w:p>
            <w:pPr>
              <w:spacing w:after="40" w:before="40" w:line="240" w:lineRule="auto"/>
            </w:pPr>
            <w:r>
              <w:rPr>
                <w:rFonts w:ascii="Calibri" w:hAnsi="Calibri"/>
                <w:b w:val="0"/>
                <w:sz w:val="20"/>
              </w:rPr>
            </w:r>
          </w:p>
        </w:tc>
        <w:tc>
          <w:tcPr>
            <w:tcW w:type="dxa" w:w="2592"/>
            <w:vAlign w:val="center"/>
            <w:shd w:fill="F7F7F7"/>
          </w:tcPr>
          <w:p>
            <w:pPr>
              <w:spacing w:after="40" w:before="40" w:line="240" w:lineRule="auto"/>
            </w:pPr>
            <w:r>
              <w:rPr>
                <w:rFonts w:ascii="Calibri" w:hAnsi="Calibri"/>
                <w:b w:val="0"/>
                <w:sz w:val="20"/>
              </w:rPr>
              <w:t>ev_ebitda</w:t>
            </w:r>
          </w:p>
        </w:tc>
        <w:tc>
          <w:tcPr>
            <w:tcW w:type="dxa" w:w="720"/>
            <w:vAlign w:val="center"/>
            <w:shd w:fill="F7F7F7"/>
          </w:tcPr>
          <w:p>
            <w:pPr>
              <w:spacing w:after="40" w:before="40" w:line="240" w:lineRule="auto"/>
            </w:pPr>
            <w:r>
              <w:rPr>
                <w:rFonts w:ascii="Calibri" w:hAnsi="Calibri"/>
                <w:b w:val="0"/>
                <w:sz w:val="20"/>
              </w:rPr>
              <w:t>FB</w:t>
            </w:r>
          </w:p>
        </w:tc>
        <w:tc>
          <w:tcPr>
            <w:tcW w:type="dxa" w:w="864"/>
            <w:vAlign w:val="center"/>
            <w:shd w:fill="F7F7F7"/>
          </w:tcPr>
          <w:p>
            <w:pPr>
              <w:spacing w:after="40" w:before="40" w:line="240" w:lineRule="auto"/>
            </w:pPr>
            <w:r>
              <w:rPr>
                <w:rFonts w:ascii="Calibri" w:hAnsi="Calibri"/>
                <w:b w:val="0"/>
                <w:sz w:val="20"/>
              </w:rPr>
              <w:t>Bas</w:t>
            </w:r>
          </w:p>
        </w:tc>
        <w:tc>
          <w:tcPr>
            <w:tcW w:type="dxa" w:w="3456"/>
            <w:vAlign w:val="center"/>
            <w:shd w:fill="F7F7F7"/>
          </w:tcPr>
          <w:p>
            <w:pPr>
              <w:spacing w:after="40" w:before="40" w:line="240" w:lineRule="auto"/>
            </w:pPr>
            <w:r>
              <w:rPr>
                <w:rFonts w:ascii="Calibri" w:hAnsi="Calibri"/>
                <w:b w:val="0"/>
                <w:sz w:val="20"/>
              </w:rPr>
              <w:t>H ; sans Fin¹</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price_sales</w:t>
            </w:r>
          </w:p>
        </w:tc>
        <w:tc>
          <w:tcPr>
            <w:tcW w:type="dxa" w:w="720"/>
            <w:vAlign w:val="center"/>
          </w:tcPr>
          <w:p>
            <w:pPr>
              <w:spacing w:after="40" w:before="40" w:line="240" w:lineRule="auto"/>
            </w:pPr>
            <w:r>
              <w:rPr>
                <w:rFonts w:ascii="Calibri" w:hAnsi="Calibri"/>
                <w:b w:val="0"/>
                <w:sz w:val="20"/>
              </w:rPr>
              <w:t>GR</w:t>
            </w:r>
          </w:p>
        </w:tc>
        <w:tc>
          <w:tcPr>
            <w:tcW w:type="dxa" w:w="864"/>
            <w:vAlign w:val="center"/>
          </w:tcPr>
          <w:p>
            <w:pPr>
              <w:spacing w:after="40" w:before="40" w:line="240" w:lineRule="auto"/>
            </w:pPr>
            <w:r>
              <w:rPr>
                <w:rFonts w:ascii="Calibri" w:hAnsi="Calibri"/>
                <w:b w:val="0"/>
                <w:sz w:val="20"/>
              </w:rPr>
              <w:t>Bas</w:t>
            </w:r>
          </w:p>
        </w:tc>
        <w:tc>
          <w:tcPr>
            <w:tcW w:type="dxa" w:w="3456"/>
            <w:vAlign w:val="center"/>
          </w:tcPr>
          <w:p>
            <w:pPr>
              <w:spacing w:after="40" w:before="40" w:line="240" w:lineRule="auto"/>
            </w:pPr>
            <w:r>
              <w:rPr>
                <w:rFonts w:ascii="Calibri" w:hAnsi="Calibri"/>
                <w:b w:val="0"/>
                <w:sz w:val="20"/>
              </w:rPr>
              <w:t>H</w:t>
            </w:r>
          </w:p>
        </w:tc>
      </w:tr>
      <w:tr>
        <w:trPr>
          <w:cantSplit/>
        </w:trPr>
        <w:tc>
          <w:tcPr>
            <w:tcW w:type="dxa" w:w="2592"/>
            <w:vAlign w:val="center"/>
            <w:shd w:fill="F7F7F7"/>
          </w:tcPr>
          <w:p>
            <w:pPr>
              <w:spacing w:after="40" w:before="40" w:line="240" w:lineRule="auto"/>
            </w:pPr>
            <w:r>
              <w:rPr>
                <w:rFonts w:ascii="Calibri" w:hAnsi="Calibri"/>
                <w:b w:val="0"/>
                <w:sz w:val="20"/>
              </w:rPr>
              <w:t>Growth</w:t>
              <w:br/>
              <w:t>Growth_FMA</w:t>
            </w:r>
          </w:p>
        </w:tc>
        <w:tc>
          <w:tcPr>
            <w:tcW w:type="dxa" w:w="2592"/>
            <w:vAlign w:val="center"/>
            <w:shd w:fill="F7F7F7"/>
          </w:tcPr>
          <w:p>
            <w:pPr>
              <w:spacing w:after="40" w:before="40" w:line="240" w:lineRule="auto"/>
            </w:pPr>
            <w:r>
              <w:rPr>
                <w:rFonts w:ascii="Calibri" w:hAnsi="Calibri"/>
                <w:b w:val="0"/>
                <w:sz w:val="20"/>
              </w:rPr>
              <w:t>eps_growth</w:t>
            </w:r>
          </w:p>
        </w:tc>
        <w:tc>
          <w:tcPr>
            <w:tcW w:type="dxa" w:w="720"/>
            <w:vAlign w:val="center"/>
            <w:shd w:fill="F7F7F7"/>
          </w:tcPr>
          <w:p>
            <w:pPr>
              <w:spacing w:after="40" w:before="40" w:line="240" w:lineRule="auto"/>
            </w:pPr>
            <w:r>
              <w:rPr>
                <w:rFonts w:ascii="Calibri" w:hAnsi="Calibri"/>
                <w:b w:val="0"/>
                <w:sz w:val="20"/>
              </w:rPr>
              <w:t>AF</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sales_growth</w:t>
            </w:r>
          </w:p>
        </w:tc>
        <w:tc>
          <w:tcPr>
            <w:tcW w:type="dxa" w:w="720"/>
            <w:vAlign w:val="center"/>
          </w:tcPr>
          <w:p>
            <w:pPr>
              <w:spacing w:after="40" w:before="40" w:line="240" w:lineRule="auto"/>
            </w:pPr>
            <w:r>
              <w:rPr>
                <w:rFonts w:ascii="Calibri" w:hAnsi="Calibri"/>
                <w:b w:val="0"/>
                <w:sz w:val="20"/>
              </w:rPr>
              <w:t>DL</w:t>
            </w:r>
          </w:p>
        </w:tc>
        <w:tc>
          <w:tcPr>
            <w:tcW w:type="dxa" w:w="864"/>
            <w:vAlign w:val="center"/>
          </w:tcPr>
          <w:p>
            <w:pPr>
              <w:spacing w:after="40" w:before="40" w:line="240" w:lineRule="auto"/>
            </w:pPr>
            <w:r>
              <w:rPr>
                <w:rFonts w:ascii="Calibri" w:hAnsi="Calibri"/>
                <w:b w:val="0"/>
                <w:sz w:val="20"/>
              </w:rPr>
              <w:t>Haut</w:t>
            </w:r>
          </w:p>
        </w:tc>
        <w:tc>
          <w:tcPr>
            <w:tcW w:type="dxa" w:w="3456"/>
            <w:vAlign w:val="center"/>
          </w:tcPr>
          <w:p>
            <w:pPr>
              <w:spacing w:after="40" w:before="40" w:line="240" w:lineRule="auto"/>
            </w:pPr>
            <w:r>
              <w:rPr>
                <w:rFonts w:ascii="Calibri" w:hAnsi="Calibri"/>
                <w:b w:val="0"/>
                <w:sz w:val="20"/>
              </w:rPr>
              <w:t>H</w:t>
            </w:r>
          </w:p>
        </w:tc>
      </w:tr>
      <w:tr>
        <w:trPr>
          <w:cantSplit/>
        </w:trPr>
        <w:tc>
          <w:tcPr>
            <w:tcW w:type="dxa" w:w="2592"/>
            <w:vAlign w:val="center"/>
            <w:shd w:fill="F7F7F7"/>
          </w:tcPr>
          <w:p>
            <w:pPr>
              <w:spacing w:after="40" w:before="40" w:line="240" w:lineRule="auto"/>
            </w:pPr>
            <w:r>
              <w:rPr>
                <w:rFonts w:ascii="Calibri" w:hAnsi="Calibri"/>
                <w:b w:val="0"/>
                <w:sz w:val="20"/>
              </w:rPr>
            </w:r>
          </w:p>
        </w:tc>
        <w:tc>
          <w:tcPr>
            <w:tcW w:type="dxa" w:w="2592"/>
            <w:vAlign w:val="center"/>
            <w:shd w:fill="F7F7F7"/>
          </w:tcPr>
          <w:p>
            <w:pPr>
              <w:spacing w:after="40" w:before="40" w:line="240" w:lineRule="auto"/>
            </w:pPr>
            <w:r>
              <w:rPr>
                <w:rFonts w:ascii="Calibri" w:hAnsi="Calibri"/>
                <w:b w:val="0"/>
                <w:sz w:val="20"/>
              </w:rPr>
              <w:t>ebitda_growth</w:t>
            </w:r>
          </w:p>
        </w:tc>
        <w:tc>
          <w:tcPr>
            <w:tcW w:type="dxa" w:w="720"/>
            <w:vAlign w:val="center"/>
            <w:shd w:fill="F7F7F7"/>
          </w:tcPr>
          <w:p>
            <w:pPr>
              <w:spacing w:after="40" w:before="40" w:line="240" w:lineRule="auto"/>
            </w:pPr>
            <w:r>
              <w:rPr>
                <w:rFonts w:ascii="Calibri" w:hAnsi="Calibri"/>
                <w:b w:val="0"/>
                <w:sz w:val="20"/>
              </w:rPr>
              <w:t>FB</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 ; sans Fin¹</w:t>
            </w:r>
          </w:p>
        </w:tc>
      </w:tr>
    </w:tbl>
    <w:p>
      <w:pPr>
        <w:spacing w:after="0"/>
      </w:pPr>
      <w:r>
        <w:rPr>
          <w:b w:val="0"/>
        </w:rPr>
      </w:r>
    </w:p>
    <w:p>
      <w:r>
        <w:rPr>
          <w:b w:val="0"/>
        </w:rPr>
        <w:t>¹ « Sans Fin » concerne la moyenne sectorielle soustraite à la mesure. La composition du pilier de Fin est définie séparément, page 17.</w:t>
      </w:r>
    </w:p>
    <w:p>
      <w:pPr>
        <w:pStyle w:val="Heading2"/>
      </w:pPr>
      <w:r>
        <w:t>Fenêtres</w:t>
      </w:r>
    </w:p>
    <w:p>
      <w:r>
        <w:rPr>
          <w:b w:val="0"/>
        </w:rPr>
        <w:t>Toutes ces variables utilisent 61 observations, sauf price_fcf et ev_ebitda de Tech qui en utilisent 37. Les trois variables de Margin mélangent à parts égales le score historique et le score transversal.</w:t>
      </w:r>
    </w:p>
    <w:p>
      <w:pPr>
        <w:pStyle w:val="Heading2"/>
      </w:pPr>
      <w:r>
        <w:t>Signification des variables</w:t>
      </w:r>
    </w:p>
    <w:p>
      <w:r>
        <w:rPr>
          <w:b w:val="0"/>
        </w:rPr>
        <w:t>Leverage mesure l’endettement et la capacité de remboursement. Margin utilise trois marges. Value utilise les multiples de valorisation. Growth utilise les croissances du bénéfice par action, des ventes et de l’EBITDA. Les noms exacts sont gardés ici pour retrouver les colonnes du code et d’Output.</w:t>
      </w:r>
    </w:p>
    <w:p>
      <w:pPr>
        <w:spacing w:before="100" w:after="0"/>
      </w:pPr>
      <w:r>
        <w:rPr>
          <w:b w:val="0"/>
          <w:color w:val="505050"/>
          <w:sz w:val="18"/>
        </w:rPr>
        <w:t>Source : local_config.py → EU_HISTORICAL_VARIABLES et EU_CONFIG ; model_secto.py → compute_historical_pillars.</w:t>
      </w:r>
    </w:p>
    <w:p>
      <w:r>
        <w:br w:type="page"/>
      </w:r>
    </w:p>
    <w:p>
      <w:pPr>
        <w:spacing w:after="40"/>
      </w:pPr>
      <w:r>
        <w:rPr>
          <w:b w:val="0"/>
          <w:color w:val="555555"/>
          <w:sz w:val="18"/>
        </w:rPr>
        <w:t>ANNEXE B — MÉTHODE</w:t>
      </w:r>
    </w:p>
    <w:p>
      <w:pPr>
        <w:pStyle w:val="Heading1"/>
      </w:pPr>
      <w:r>
        <w:t>B4. Variables fondamentales US</w:t>
      </w:r>
    </w:p>
    <w:p>
      <w:r>
        <w:rPr>
          <w:b w:val="0"/>
        </w:rPr>
        <w:t>Les conventions H, H+X et le sens favorable sont identiques à EU. La lecture commence à la ligne 8 ; l’ordre des secteurs est celui de l’univers US.</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2592"/>
        <w:gridCol w:w="2592"/>
        <w:gridCol w:w="720"/>
        <w:gridCol w:w="864"/>
        <w:gridCol w:w="3456"/>
      </w:tblGrid>
      <w:tr>
        <w:trPr>
          <w:cantSplit/>
          <w:tblHeader/>
        </w:trPr>
        <w:tc>
          <w:tcPr>
            <w:tcW w:type="dxa" w:w="2592"/>
            <w:vAlign w:val="center"/>
            <w:shd w:fill="E8E8E8"/>
          </w:tcPr>
          <w:p>
            <w:pPr>
              <w:spacing w:after="40" w:before="40" w:line="240" w:lineRule="auto"/>
            </w:pPr>
            <w:r>
              <w:rPr>
                <w:rFonts w:ascii="Calibri" w:hAnsi="Calibri"/>
                <w:b/>
                <w:sz w:val="20"/>
              </w:rPr>
              <w:t>Pilier / feuille</w:t>
            </w:r>
          </w:p>
        </w:tc>
        <w:tc>
          <w:tcPr>
            <w:tcW w:type="dxa" w:w="2592"/>
            <w:vAlign w:val="center"/>
            <w:shd w:fill="E8E8E8"/>
          </w:tcPr>
          <w:p>
            <w:pPr>
              <w:spacing w:after="40" w:before="40" w:line="240" w:lineRule="auto"/>
            </w:pPr>
            <w:r>
              <w:rPr>
                <w:rFonts w:ascii="Calibri" w:hAnsi="Calibri"/>
                <w:b/>
                <w:sz w:val="20"/>
              </w:rPr>
              <w:t>Variable</w:t>
            </w:r>
          </w:p>
        </w:tc>
        <w:tc>
          <w:tcPr>
            <w:tcW w:type="dxa" w:w="720"/>
            <w:vAlign w:val="center"/>
            <w:shd w:fill="E8E8E8"/>
          </w:tcPr>
          <w:p>
            <w:pPr>
              <w:spacing w:after="40" w:before="40" w:line="240" w:lineRule="auto"/>
            </w:pPr>
            <w:r>
              <w:rPr>
                <w:rFonts w:ascii="Calibri" w:hAnsi="Calibri"/>
                <w:b/>
                <w:sz w:val="20"/>
              </w:rPr>
              <w:t>Col.</w:t>
            </w:r>
          </w:p>
        </w:tc>
        <w:tc>
          <w:tcPr>
            <w:tcW w:type="dxa" w:w="864"/>
            <w:vAlign w:val="center"/>
            <w:shd w:fill="E8E8E8"/>
          </w:tcPr>
          <w:p>
            <w:pPr>
              <w:spacing w:after="40" w:before="40" w:line="240" w:lineRule="auto"/>
            </w:pPr>
            <w:r>
              <w:rPr>
                <w:rFonts w:ascii="Calibri" w:hAnsi="Calibri"/>
                <w:b/>
                <w:sz w:val="20"/>
              </w:rPr>
              <w:t>Sens</w:t>
            </w:r>
          </w:p>
        </w:tc>
        <w:tc>
          <w:tcPr>
            <w:tcW w:type="dxa" w:w="3456"/>
            <w:vAlign w:val="center"/>
            <w:shd w:fill="E8E8E8"/>
          </w:tcPr>
          <w:p>
            <w:pPr>
              <w:spacing w:after="40" w:before="40" w:line="240" w:lineRule="auto"/>
            </w:pPr>
            <w:r>
              <w:rPr>
                <w:rFonts w:ascii="Calibri" w:hAnsi="Calibri"/>
                <w:b/>
                <w:sz w:val="20"/>
              </w:rPr>
              <w:t>Méthode</w:t>
            </w:r>
          </w:p>
        </w:tc>
      </w:tr>
      <w:tr>
        <w:trPr>
          <w:cantSplit/>
        </w:trPr>
        <w:tc>
          <w:tcPr>
            <w:tcW w:type="dxa" w:w="2592"/>
            <w:vAlign w:val="center"/>
          </w:tcPr>
          <w:p>
            <w:pPr>
              <w:spacing w:after="40" w:before="40" w:line="240" w:lineRule="auto"/>
            </w:pPr>
            <w:r>
              <w:rPr>
                <w:rFonts w:ascii="Calibri" w:hAnsi="Calibri"/>
                <w:b w:val="0"/>
                <w:sz w:val="20"/>
              </w:rPr>
              <w:t>Leverage</w:t>
              <w:br/>
              <w:t>Leverage_FMA</w:t>
            </w:r>
          </w:p>
        </w:tc>
        <w:tc>
          <w:tcPr>
            <w:tcW w:type="dxa" w:w="2592"/>
            <w:vAlign w:val="center"/>
          </w:tcPr>
          <w:p>
            <w:pPr>
              <w:spacing w:after="40" w:before="40" w:line="240" w:lineRule="auto"/>
            </w:pPr>
            <w:r>
              <w:rPr>
                <w:rFonts w:ascii="Calibri" w:hAnsi="Calibri"/>
                <w:b w:val="0"/>
                <w:sz w:val="20"/>
              </w:rPr>
              <w:t>net_debt_ebitda</w:t>
            </w:r>
          </w:p>
        </w:tc>
        <w:tc>
          <w:tcPr>
            <w:tcW w:type="dxa" w:w="720"/>
            <w:vAlign w:val="center"/>
          </w:tcPr>
          <w:p>
            <w:pPr>
              <w:spacing w:after="40" w:before="40" w:line="240" w:lineRule="auto"/>
            </w:pPr>
            <w:r>
              <w:rPr>
                <w:rFonts w:ascii="Calibri" w:hAnsi="Calibri"/>
                <w:b w:val="0"/>
                <w:sz w:val="20"/>
              </w:rPr>
              <w:t>AD</w:t>
            </w:r>
          </w:p>
        </w:tc>
        <w:tc>
          <w:tcPr>
            <w:tcW w:type="dxa" w:w="864"/>
            <w:vAlign w:val="center"/>
          </w:tcPr>
          <w:p>
            <w:pPr>
              <w:spacing w:after="40" w:before="40" w:line="240" w:lineRule="auto"/>
            </w:pPr>
            <w:r>
              <w:rPr>
                <w:rFonts w:ascii="Calibri" w:hAnsi="Calibri"/>
                <w:b w:val="0"/>
                <w:sz w:val="20"/>
              </w:rPr>
              <w:t>Bas</w:t>
            </w:r>
          </w:p>
        </w:tc>
        <w:tc>
          <w:tcPr>
            <w:tcW w:type="dxa" w:w="3456"/>
            <w:vAlign w:val="center"/>
          </w:tcPr>
          <w:p>
            <w:pPr>
              <w:spacing w:after="40" w:before="40" w:line="240" w:lineRule="auto"/>
            </w:pPr>
            <w:r>
              <w:rPr>
                <w:rFonts w:ascii="Calibri" w:hAnsi="Calibri"/>
                <w:b w:val="0"/>
                <w:sz w:val="20"/>
              </w:rPr>
              <w:t>H+X</w:t>
            </w:r>
          </w:p>
        </w:tc>
      </w:tr>
      <w:tr>
        <w:trPr>
          <w:cantSplit/>
        </w:trPr>
        <w:tc>
          <w:tcPr>
            <w:tcW w:type="dxa" w:w="2592"/>
            <w:vAlign w:val="center"/>
            <w:shd w:fill="F7F7F7"/>
          </w:tcPr>
          <w:p>
            <w:pPr>
              <w:spacing w:after="40" w:before="40" w:line="240" w:lineRule="auto"/>
            </w:pPr>
            <w:r>
              <w:rPr>
                <w:rFonts w:ascii="Calibri" w:hAnsi="Calibri"/>
                <w:b w:val="0"/>
                <w:sz w:val="20"/>
              </w:rPr>
            </w:r>
          </w:p>
        </w:tc>
        <w:tc>
          <w:tcPr>
            <w:tcW w:type="dxa" w:w="2592"/>
            <w:vAlign w:val="center"/>
            <w:shd w:fill="F7F7F7"/>
          </w:tcPr>
          <w:p>
            <w:pPr>
              <w:spacing w:after="40" w:before="40" w:line="240" w:lineRule="auto"/>
            </w:pPr>
            <w:r>
              <w:rPr>
                <w:rFonts w:ascii="Calibri" w:hAnsi="Calibri"/>
                <w:b w:val="0"/>
                <w:sz w:val="20"/>
              </w:rPr>
              <w:t>fcf_total_debt</w:t>
            </w:r>
          </w:p>
        </w:tc>
        <w:tc>
          <w:tcPr>
            <w:tcW w:type="dxa" w:w="720"/>
            <w:vAlign w:val="center"/>
            <w:shd w:fill="F7F7F7"/>
          </w:tcPr>
          <w:p>
            <w:pPr>
              <w:spacing w:after="40" w:before="40" w:line="240" w:lineRule="auto"/>
            </w:pPr>
            <w:r>
              <w:rPr>
                <w:rFonts w:ascii="Calibri" w:hAnsi="Calibri"/>
                <w:b w:val="0"/>
                <w:sz w:val="20"/>
              </w:rPr>
              <w:t>EQ</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H+X</w:t>
            </w:r>
          </w:p>
        </w:tc>
      </w:tr>
      <w:tr>
        <w:trPr>
          <w:cantSplit/>
        </w:trPr>
        <w:tc>
          <w:tcPr>
            <w:tcW w:type="dxa" w:w="2592"/>
            <w:vAlign w:val="center"/>
          </w:tcPr>
          <w:p>
            <w:pPr>
              <w:spacing w:after="40" w:before="40" w:line="240" w:lineRule="auto"/>
            </w:pPr>
            <w:r>
              <w:rPr>
                <w:rFonts w:ascii="Calibri" w:hAnsi="Calibri"/>
                <w:b w:val="0"/>
                <w:sz w:val="20"/>
              </w:rPr>
              <w:t>Margin</w:t>
              <w:br/>
              <w:t>Margin_FMA</w:t>
            </w:r>
          </w:p>
        </w:tc>
        <w:tc>
          <w:tcPr>
            <w:tcW w:type="dxa" w:w="2592"/>
            <w:vAlign w:val="center"/>
          </w:tcPr>
          <w:p>
            <w:pPr>
              <w:spacing w:after="40" w:before="40" w:line="240" w:lineRule="auto"/>
            </w:pPr>
            <w:r>
              <w:rPr>
                <w:rFonts w:ascii="Calibri" w:hAnsi="Calibri"/>
                <w:b w:val="0"/>
                <w:sz w:val="20"/>
              </w:rPr>
              <w:t>operating_margin</w:t>
            </w:r>
          </w:p>
        </w:tc>
        <w:tc>
          <w:tcPr>
            <w:tcW w:type="dxa" w:w="720"/>
            <w:vAlign w:val="center"/>
          </w:tcPr>
          <w:p>
            <w:pPr>
              <w:spacing w:after="40" w:before="40" w:line="240" w:lineRule="auto"/>
            </w:pPr>
            <w:r>
              <w:rPr>
                <w:rFonts w:ascii="Calibri" w:hAnsi="Calibri"/>
                <w:b w:val="0"/>
                <w:sz w:val="20"/>
              </w:rPr>
              <w:t>BQ</w:t>
            </w:r>
          </w:p>
        </w:tc>
        <w:tc>
          <w:tcPr>
            <w:tcW w:type="dxa" w:w="864"/>
            <w:vAlign w:val="center"/>
          </w:tcPr>
          <w:p>
            <w:pPr>
              <w:spacing w:after="40" w:before="40" w:line="240" w:lineRule="auto"/>
            </w:pPr>
            <w:r>
              <w:rPr>
                <w:rFonts w:ascii="Calibri" w:hAnsi="Calibri"/>
                <w:b w:val="0"/>
                <w:sz w:val="20"/>
              </w:rPr>
              <w:t>Haut</w:t>
            </w:r>
          </w:p>
        </w:tc>
        <w:tc>
          <w:tcPr>
            <w:tcW w:type="dxa" w:w="3456"/>
            <w:vAlign w:val="center"/>
          </w:tcPr>
          <w:p>
            <w:pPr>
              <w:spacing w:after="40" w:before="40" w:line="240" w:lineRule="auto"/>
            </w:pPr>
            <w:r>
              <w:rPr>
                <w:rFonts w:ascii="Calibri" w:hAnsi="Calibri"/>
                <w:b w:val="0"/>
                <w:sz w:val="20"/>
              </w:rPr>
              <w:t>H+X</w:t>
            </w:r>
          </w:p>
        </w:tc>
      </w:tr>
      <w:tr>
        <w:trPr>
          <w:cantSplit/>
        </w:trPr>
        <w:tc>
          <w:tcPr>
            <w:tcW w:type="dxa" w:w="2592"/>
            <w:vAlign w:val="center"/>
            <w:shd w:fill="F7F7F7"/>
          </w:tcPr>
          <w:p>
            <w:pPr>
              <w:spacing w:after="40" w:before="40" w:line="240" w:lineRule="auto"/>
            </w:pPr>
            <w:r>
              <w:rPr>
                <w:rFonts w:ascii="Calibri" w:hAnsi="Calibri"/>
                <w:b w:val="0"/>
                <w:sz w:val="20"/>
              </w:rPr>
            </w:r>
          </w:p>
        </w:tc>
        <w:tc>
          <w:tcPr>
            <w:tcW w:type="dxa" w:w="2592"/>
            <w:vAlign w:val="center"/>
            <w:shd w:fill="F7F7F7"/>
          </w:tcPr>
          <w:p>
            <w:pPr>
              <w:spacing w:after="40" w:before="40" w:line="240" w:lineRule="auto"/>
            </w:pPr>
            <w:r>
              <w:rPr>
                <w:rFonts w:ascii="Calibri" w:hAnsi="Calibri"/>
                <w:b w:val="0"/>
                <w:sz w:val="20"/>
              </w:rPr>
              <w:t>net_margin</w:t>
            </w:r>
          </w:p>
        </w:tc>
        <w:tc>
          <w:tcPr>
            <w:tcW w:type="dxa" w:w="720"/>
            <w:vAlign w:val="center"/>
            <w:shd w:fill="F7F7F7"/>
          </w:tcPr>
          <w:p>
            <w:pPr>
              <w:spacing w:after="40" w:before="40" w:line="240" w:lineRule="auto"/>
            </w:pPr>
            <w:r>
              <w:rPr>
                <w:rFonts w:ascii="Calibri" w:hAnsi="Calibri"/>
                <w:b w:val="0"/>
                <w:sz w:val="20"/>
              </w:rPr>
              <w:t>DD</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H+X</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ebitda_margin</w:t>
            </w:r>
          </w:p>
        </w:tc>
        <w:tc>
          <w:tcPr>
            <w:tcW w:type="dxa" w:w="720"/>
            <w:vAlign w:val="center"/>
          </w:tcPr>
          <w:p>
            <w:pPr>
              <w:spacing w:after="40" w:before="40" w:line="240" w:lineRule="auto"/>
            </w:pPr>
            <w:r>
              <w:rPr>
                <w:rFonts w:ascii="Calibri" w:hAnsi="Calibri"/>
                <w:b w:val="0"/>
                <w:sz w:val="20"/>
              </w:rPr>
              <w:t>GD</w:t>
            </w:r>
          </w:p>
        </w:tc>
        <w:tc>
          <w:tcPr>
            <w:tcW w:type="dxa" w:w="864"/>
            <w:vAlign w:val="center"/>
          </w:tcPr>
          <w:p>
            <w:pPr>
              <w:spacing w:after="40" w:before="40" w:line="240" w:lineRule="auto"/>
            </w:pPr>
            <w:r>
              <w:rPr>
                <w:rFonts w:ascii="Calibri" w:hAnsi="Calibri"/>
                <w:b w:val="0"/>
                <w:sz w:val="20"/>
              </w:rPr>
              <w:t>Haut</w:t>
            </w:r>
          </w:p>
        </w:tc>
        <w:tc>
          <w:tcPr>
            <w:tcW w:type="dxa" w:w="3456"/>
            <w:vAlign w:val="center"/>
          </w:tcPr>
          <w:p>
            <w:pPr>
              <w:spacing w:after="40" w:before="40" w:line="240" w:lineRule="auto"/>
            </w:pPr>
            <w:r>
              <w:rPr>
                <w:rFonts w:ascii="Calibri" w:hAnsi="Calibri"/>
                <w:b w:val="0"/>
                <w:sz w:val="20"/>
              </w:rPr>
              <w:t>H+X</w:t>
            </w:r>
          </w:p>
        </w:tc>
      </w:tr>
      <w:tr>
        <w:trPr>
          <w:cantSplit/>
        </w:trPr>
        <w:tc>
          <w:tcPr>
            <w:tcW w:type="dxa" w:w="2592"/>
            <w:vAlign w:val="center"/>
            <w:shd w:fill="F7F7F7"/>
          </w:tcPr>
          <w:p>
            <w:pPr>
              <w:spacing w:after="40" w:before="40" w:line="240" w:lineRule="auto"/>
            </w:pPr>
            <w:r>
              <w:rPr>
                <w:rFonts w:ascii="Calibri" w:hAnsi="Calibri"/>
                <w:b w:val="0"/>
                <w:sz w:val="20"/>
              </w:rPr>
              <w:t>Value</w:t>
              <w:br/>
              <w:t>Valuation_FMA_hist</w:t>
            </w:r>
          </w:p>
        </w:tc>
        <w:tc>
          <w:tcPr>
            <w:tcW w:type="dxa" w:w="2592"/>
            <w:vAlign w:val="center"/>
            <w:shd w:fill="F7F7F7"/>
          </w:tcPr>
          <w:p>
            <w:pPr>
              <w:spacing w:after="40" w:before="40" w:line="240" w:lineRule="auto"/>
            </w:pPr>
            <w:r>
              <w:rPr>
                <w:rFonts w:ascii="Calibri" w:hAnsi="Calibri"/>
                <w:b w:val="0"/>
                <w:sz w:val="20"/>
              </w:rPr>
              <w:t>pe</w:t>
            </w:r>
          </w:p>
        </w:tc>
        <w:tc>
          <w:tcPr>
            <w:tcW w:type="dxa" w:w="720"/>
            <w:vAlign w:val="center"/>
            <w:shd w:fill="F7F7F7"/>
          </w:tcPr>
          <w:p>
            <w:pPr>
              <w:spacing w:after="40" w:before="40" w:line="240" w:lineRule="auto"/>
            </w:pPr>
            <w:r>
              <w:rPr>
                <w:rFonts w:ascii="Calibri" w:hAnsi="Calibri"/>
                <w:b w:val="0"/>
                <w:sz w:val="20"/>
              </w:rPr>
              <w:t>AD</w:t>
            </w:r>
          </w:p>
        </w:tc>
        <w:tc>
          <w:tcPr>
            <w:tcW w:type="dxa" w:w="864"/>
            <w:vAlign w:val="center"/>
            <w:shd w:fill="F7F7F7"/>
          </w:tcPr>
          <w:p>
            <w:pPr>
              <w:spacing w:after="40" w:before="40" w:line="240" w:lineRule="auto"/>
            </w:pPr>
            <w:r>
              <w:rPr>
                <w:rFonts w:ascii="Calibri" w:hAnsi="Calibri"/>
                <w:b w:val="0"/>
                <w:sz w:val="20"/>
              </w:rPr>
              <w:t>Bas</w:t>
            </w:r>
          </w:p>
        </w:tc>
        <w:tc>
          <w:tcPr>
            <w:tcW w:type="dxa" w:w="3456"/>
            <w:vAlign w:val="center"/>
            <w:shd w:fill="F7F7F7"/>
          </w:tcPr>
          <w:p>
            <w:pPr>
              <w:spacing w:after="40" w:before="40" w:line="240" w:lineRule="auto"/>
            </w:pPr>
            <w:r>
              <w:rPr>
                <w:rFonts w:ascii="Calibri" w:hAnsi="Calibri"/>
                <w:b w:val="0"/>
                <w:sz w:val="20"/>
              </w:rPr>
              <w:t>H</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price_fcf</w:t>
            </w:r>
          </w:p>
        </w:tc>
        <w:tc>
          <w:tcPr>
            <w:tcW w:type="dxa" w:w="720"/>
            <w:vAlign w:val="center"/>
          </w:tcPr>
          <w:p>
            <w:pPr>
              <w:spacing w:after="40" w:before="40" w:line="240" w:lineRule="auto"/>
            </w:pPr>
            <w:r>
              <w:rPr>
                <w:rFonts w:ascii="Calibri" w:hAnsi="Calibri"/>
                <w:b w:val="0"/>
                <w:sz w:val="20"/>
              </w:rPr>
              <w:t>DD</w:t>
            </w:r>
          </w:p>
        </w:tc>
        <w:tc>
          <w:tcPr>
            <w:tcW w:type="dxa" w:w="864"/>
            <w:vAlign w:val="center"/>
          </w:tcPr>
          <w:p>
            <w:pPr>
              <w:spacing w:after="40" w:before="40" w:line="240" w:lineRule="auto"/>
            </w:pPr>
            <w:r>
              <w:rPr>
                <w:rFonts w:ascii="Calibri" w:hAnsi="Calibri"/>
                <w:b w:val="0"/>
                <w:sz w:val="20"/>
              </w:rPr>
              <w:t>Bas</w:t>
            </w:r>
          </w:p>
        </w:tc>
        <w:tc>
          <w:tcPr>
            <w:tcW w:type="dxa" w:w="3456"/>
            <w:vAlign w:val="center"/>
          </w:tcPr>
          <w:p>
            <w:pPr>
              <w:spacing w:after="40" w:before="40" w:line="240" w:lineRule="auto"/>
            </w:pPr>
            <w:r>
              <w:rPr>
                <w:rFonts w:ascii="Calibri" w:hAnsi="Calibri"/>
                <w:b w:val="0"/>
                <w:sz w:val="20"/>
              </w:rPr>
              <w:t>H ; sans Fin¹</w:t>
            </w:r>
          </w:p>
        </w:tc>
      </w:tr>
      <w:tr>
        <w:trPr>
          <w:cantSplit/>
        </w:trPr>
        <w:tc>
          <w:tcPr>
            <w:tcW w:type="dxa" w:w="2592"/>
            <w:vAlign w:val="center"/>
            <w:shd w:fill="F7F7F7"/>
          </w:tcPr>
          <w:p>
            <w:pPr>
              <w:spacing w:after="40" w:before="40" w:line="240" w:lineRule="auto"/>
            </w:pPr>
            <w:r>
              <w:rPr>
                <w:rFonts w:ascii="Calibri" w:hAnsi="Calibri"/>
                <w:b w:val="0"/>
                <w:sz w:val="20"/>
              </w:rPr>
            </w:r>
          </w:p>
        </w:tc>
        <w:tc>
          <w:tcPr>
            <w:tcW w:type="dxa" w:w="2592"/>
            <w:vAlign w:val="center"/>
            <w:shd w:fill="F7F7F7"/>
          </w:tcPr>
          <w:p>
            <w:pPr>
              <w:spacing w:after="40" w:before="40" w:line="240" w:lineRule="auto"/>
            </w:pPr>
            <w:r>
              <w:rPr>
                <w:rFonts w:ascii="Calibri" w:hAnsi="Calibri"/>
                <w:b w:val="0"/>
                <w:sz w:val="20"/>
              </w:rPr>
              <w:t>ev_ebitda</w:t>
            </w:r>
          </w:p>
        </w:tc>
        <w:tc>
          <w:tcPr>
            <w:tcW w:type="dxa" w:w="720"/>
            <w:vAlign w:val="center"/>
            <w:shd w:fill="F7F7F7"/>
          </w:tcPr>
          <w:p>
            <w:pPr>
              <w:spacing w:after="40" w:before="40" w:line="240" w:lineRule="auto"/>
            </w:pPr>
            <w:r>
              <w:rPr>
                <w:rFonts w:ascii="Calibri" w:hAnsi="Calibri"/>
                <w:b w:val="0"/>
                <w:sz w:val="20"/>
              </w:rPr>
              <w:t>EQ</w:t>
            </w:r>
          </w:p>
        </w:tc>
        <w:tc>
          <w:tcPr>
            <w:tcW w:type="dxa" w:w="864"/>
            <w:vAlign w:val="center"/>
            <w:shd w:fill="F7F7F7"/>
          </w:tcPr>
          <w:p>
            <w:pPr>
              <w:spacing w:after="40" w:before="40" w:line="240" w:lineRule="auto"/>
            </w:pPr>
            <w:r>
              <w:rPr>
                <w:rFonts w:ascii="Calibri" w:hAnsi="Calibri"/>
                <w:b w:val="0"/>
                <w:sz w:val="20"/>
              </w:rPr>
              <w:t>Bas</w:t>
            </w:r>
          </w:p>
        </w:tc>
        <w:tc>
          <w:tcPr>
            <w:tcW w:type="dxa" w:w="3456"/>
            <w:vAlign w:val="center"/>
            <w:shd w:fill="F7F7F7"/>
          </w:tcPr>
          <w:p>
            <w:pPr>
              <w:spacing w:after="40" w:before="40" w:line="240" w:lineRule="auto"/>
            </w:pPr>
            <w:r>
              <w:rPr>
                <w:rFonts w:ascii="Calibri" w:hAnsi="Calibri"/>
                <w:b w:val="0"/>
                <w:sz w:val="20"/>
              </w:rPr>
              <w:t>H ; sans Fin¹</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price_sales</w:t>
            </w:r>
          </w:p>
        </w:tc>
        <w:tc>
          <w:tcPr>
            <w:tcW w:type="dxa" w:w="720"/>
            <w:vAlign w:val="center"/>
          </w:tcPr>
          <w:p>
            <w:pPr>
              <w:spacing w:after="40" w:before="40" w:line="240" w:lineRule="auto"/>
            </w:pPr>
            <w:r>
              <w:rPr>
                <w:rFonts w:ascii="Calibri" w:hAnsi="Calibri"/>
                <w:b w:val="0"/>
                <w:sz w:val="20"/>
              </w:rPr>
              <w:t>GD</w:t>
            </w:r>
          </w:p>
        </w:tc>
        <w:tc>
          <w:tcPr>
            <w:tcW w:type="dxa" w:w="864"/>
            <w:vAlign w:val="center"/>
          </w:tcPr>
          <w:p>
            <w:pPr>
              <w:spacing w:after="40" w:before="40" w:line="240" w:lineRule="auto"/>
            </w:pPr>
            <w:r>
              <w:rPr>
                <w:rFonts w:ascii="Calibri" w:hAnsi="Calibri"/>
                <w:b w:val="0"/>
                <w:sz w:val="20"/>
              </w:rPr>
              <w:t>Bas</w:t>
            </w:r>
          </w:p>
        </w:tc>
        <w:tc>
          <w:tcPr>
            <w:tcW w:type="dxa" w:w="3456"/>
            <w:vAlign w:val="center"/>
          </w:tcPr>
          <w:p>
            <w:pPr>
              <w:spacing w:after="40" w:before="40" w:line="240" w:lineRule="auto"/>
            </w:pPr>
            <w:r>
              <w:rPr>
                <w:rFonts w:ascii="Calibri" w:hAnsi="Calibri"/>
                <w:b w:val="0"/>
                <w:sz w:val="20"/>
              </w:rPr>
              <w:t>H</w:t>
            </w:r>
          </w:p>
        </w:tc>
      </w:tr>
      <w:tr>
        <w:trPr>
          <w:cantSplit/>
        </w:trPr>
        <w:tc>
          <w:tcPr>
            <w:tcW w:type="dxa" w:w="2592"/>
            <w:vAlign w:val="center"/>
            <w:shd w:fill="F7F7F7"/>
          </w:tcPr>
          <w:p>
            <w:pPr>
              <w:spacing w:after="40" w:before="40" w:line="240" w:lineRule="auto"/>
            </w:pPr>
            <w:r>
              <w:rPr>
                <w:rFonts w:ascii="Calibri" w:hAnsi="Calibri"/>
                <w:b w:val="0"/>
                <w:sz w:val="20"/>
              </w:rPr>
              <w:t>Growth</w:t>
              <w:br/>
              <w:t>Growth_FMA</w:t>
            </w:r>
          </w:p>
        </w:tc>
        <w:tc>
          <w:tcPr>
            <w:tcW w:type="dxa" w:w="2592"/>
            <w:vAlign w:val="center"/>
            <w:shd w:fill="F7F7F7"/>
          </w:tcPr>
          <w:p>
            <w:pPr>
              <w:spacing w:after="40" w:before="40" w:line="240" w:lineRule="auto"/>
            </w:pPr>
            <w:r>
              <w:rPr>
                <w:rFonts w:ascii="Calibri" w:hAnsi="Calibri"/>
                <w:b w:val="0"/>
                <w:sz w:val="20"/>
              </w:rPr>
              <w:t>eps_growth</w:t>
            </w:r>
          </w:p>
        </w:tc>
        <w:tc>
          <w:tcPr>
            <w:tcW w:type="dxa" w:w="720"/>
            <w:vAlign w:val="center"/>
            <w:shd w:fill="F7F7F7"/>
          </w:tcPr>
          <w:p>
            <w:pPr>
              <w:spacing w:after="40" w:before="40" w:line="240" w:lineRule="auto"/>
            </w:pPr>
            <w:r>
              <w:rPr>
                <w:rFonts w:ascii="Calibri" w:hAnsi="Calibri"/>
                <w:b w:val="0"/>
                <w:sz w:val="20"/>
              </w:rPr>
              <w:t>AD</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cash_flow_growth</w:t>
            </w:r>
          </w:p>
        </w:tc>
        <w:tc>
          <w:tcPr>
            <w:tcW w:type="dxa" w:w="720"/>
            <w:vAlign w:val="center"/>
          </w:tcPr>
          <w:p>
            <w:pPr>
              <w:spacing w:after="40" w:before="40" w:line="240" w:lineRule="auto"/>
            </w:pPr>
            <w:r>
              <w:rPr>
                <w:rFonts w:ascii="Calibri" w:hAnsi="Calibri"/>
                <w:b w:val="0"/>
                <w:sz w:val="20"/>
              </w:rPr>
              <w:t>BQ</w:t>
            </w:r>
          </w:p>
        </w:tc>
        <w:tc>
          <w:tcPr>
            <w:tcW w:type="dxa" w:w="864"/>
            <w:vAlign w:val="center"/>
          </w:tcPr>
          <w:p>
            <w:pPr>
              <w:spacing w:after="40" w:before="40" w:line="240" w:lineRule="auto"/>
            </w:pPr>
            <w:r>
              <w:rPr>
                <w:rFonts w:ascii="Calibri" w:hAnsi="Calibri"/>
                <w:b w:val="0"/>
                <w:sz w:val="20"/>
              </w:rPr>
              <w:t>Haut</w:t>
            </w:r>
          </w:p>
        </w:tc>
        <w:tc>
          <w:tcPr>
            <w:tcW w:type="dxa" w:w="3456"/>
            <w:vAlign w:val="center"/>
          </w:tcPr>
          <w:p>
            <w:pPr>
              <w:spacing w:after="40" w:before="40" w:line="240" w:lineRule="auto"/>
            </w:pPr>
            <w:r>
              <w:rPr>
                <w:rFonts w:ascii="Calibri" w:hAnsi="Calibri"/>
                <w:b w:val="0"/>
                <w:sz w:val="20"/>
              </w:rPr>
              <w:t>H ; sans Fin¹</w:t>
            </w:r>
          </w:p>
        </w:tc>
      </w:tr>
      <w:tr>
        <w:trPr>
          <w:cantSplit/>
        </w:trPr>
        <w:tc>
          <w:tcPr>
            <w:tcW w:type="dxa" w:w="2592"/>
            <w:vAlign w:val="center"/>
            <w:shd w:fill="F7F7F7"/>
          </w:tcPr>
          <w:p>
            <w:pPr>
              <w:spacing w:after="40" w:before="40" w:line="240" w:lineRule="auto"/>
            </w:pPr>
            <w:r>
              <w:rPr>
                <w:rFonts w:ascii="Calibri" w:hAnsi="Calibri"/>
                <w:b w:val="0"/>
                <w:sz w:val="20"/>
              </w:rPr>
            </w:r>
          </w:p>
        </w:tc>
        <w:tc>
          <w:tcPr>
            <w:tcW w:type="dxa" w:w="2592"/>
            <w:vAlign w:val="center"/>
            <w:shd w:fill="F7F7F7"/>
          </w:tcPr>
          <w:p>
            <w:pPr>
              <w:spacing w:after="40" w:before="40" w:line="240" w:lineRule="auto"/>
            </w:pPr>
            <w:r>
              <w:rPr>
                <w:rFonts w:ascii="Calibri" w:hAnsi="Calibri"/>
                <w:b w:val="0"/>
                <w:sz w:val="20"/>
              </w:rPr>
              <w:t>sales_growth</w:t>
            </w:r>
          </w:p>
        </w:tc>
        <w:tc>
          <w:tcPr>
            <w:tcW w:type="dxa" w:w="720"/>
            <w:vAlign w:val="center"/>
            <w:shd w:fill="F7F7F7"/>
          </w:tcPr>
          <w:p>
            <w:pPr>
              <w:spacing w:after="40" w:before="40" w:line="240" w:lineRule="auto"/>
            </w:pPr>
            <w:r>
              <w:rPr>
                <w:rFonts w:ascii="Calibri" w:hAnsi="Calibri"/>
                <w:b w:val="0"/>
                <w:sz w:val="20"/>
              </w:rPr>
              <w:t>DD</w:t>
            </w:r>
          </w:p>
        </w:tc>
        <w:tc>
          <w:tcPr>
            <w:tcW w:type="dxa" w:w="864"/>
            <w:vAlign w:val="center"/>
            <w:shd w:fill="F7F7F7"/>
          </w:tcPr>
          <w:p>
            <w:pPr>
              <w:spacing w:after="40" w:before="40" w:line="240" w:lineRule="auto"/>
            </w:pPr>
            <w:r>
              <w:rPr>
                <w:rFonts w:ascii="Calibri" w:hAnsi="Calibri"/>
                <w:b w:val="0"/>
                <w:sz w:val="20"/>
              </w:rPr>
              <w:t>Haut</w:t>
            </w:r>
          </w:p>
        </w:tc>
        <w:tc>
          <w:tcPr>
            <w:tcW w:type="dxa" w:w="3456"/>
            <w:vAlign w:val="center"/>
            <w:shd w:fill="F7F7F7"/>
          </w:tcPr>
          <w:p>
            <w:pPr>
              <w:spacing w:after="40" w:before="40" w:line="240" w:lineRule="auto"/>
            </w:pPr>
            <w:r>
              <w:rPr>
                <w:rFonts w:ascii="Calibri" w:hAnsi="Calibri"/>
                <w:b w:val="0"/>
                <w:sz w:val="20"/>
              </w:rPr>
              <w:t>H</w:t>
            </w:r>
          </w:p>
        </w:tc>
      </w:tr>
      <w:tr>
        <w:trPr>
          <w:cantSplit/>
        </w:trPr>
        <w:tc>
          <w:tcPr>
            <w:tcW w:type="dxa" w:w="2592"/>
            <w:vAlign w:val="center"/>
          </w:tcPr>
          <w:p>
            <w:pPr>
              <w:spacing w:after="40" w:before="40" w:line="240" w:lineRule="auto"/>
            </w:pPr>
            <w:r>
              <w:rPr>
                <w:rFonts w:ascii="Calibri" w:hAnsi="Calibri"/>
                <w:b w:val="0"/>
                <w:sz w:val="20"/>
              </w:rPr>
            </w:r>
          </w:p>
        </w:tc>
        <w:tc>
          <w:tcPr>
            <w:tcW w:type="dxa" w:w="2592"/>
            <w:vAlign w:val="center"/>
          </w:tcPr>
          <w:p>
            <w:pPr>
              <w:spacing w:after="40" w:before="40" w:line="240" w:lineRule="auto"/>
            </w:pPr>
            <w:r>
              <w:rPr>
                <w:rFonts w:ascii="Calibri" w:hAnsi="Calibri"/>
                <w:b w:val="0"/>
                <w:sz w:val="20"/>
              </w:rPr>
              <w:t>ebitda_growth</w:t>
            </w:r>
          </w:p>
        </w:tc>
        <w:tc>
          <w:tcPr>
            <w:tcW w:type="dxa" w:w="720"/>
            <w:vAlign w:val="center"/>
          </w:tcPr>
          <w:p>
            <w:pPr>
              <w:spacing w:after="40" w:before="40" w:line="240" w:lineRule="auto"/>
            </w:pPr>
            <w:r>
              <w:rPr>
                <w:rFonts w:ascii="Calibri" w:hAnsi="Calibri"/>
                <w:b w:val="0"/>
                <w:sz w:val="20"/>
              </w:rPr>
              <w:t>EQ</w:t>
            </w:r>
          </w:p>
        </w:tc>
        <w:tc>
          <w:tcPr>
            <w:tcW w:type="dxa" w:w="864"/>
            <w:vAlign w:val="center"/>
          </w:tcPr>
          <w:p>
            <w:pPr>
              <w:spacing w:after="40" w:before="40" w:line="240" w:lineRule="auto"/>
            </w:pPr>
            <w:r>
              <w:rPr>
                <w:rFonts w:ascii="Calibri" w:hAnsi="Calibri"/>
                <w:b w:val="0"/>
                <w:sz w:val="20"/>
              </w:rPr>
              <w:t>Haut</w:t>
            </w:r>
          </w:p>
        </w:tc>
        <w:tc>
          <w:tcPr>
            <w:tcW w:type="dxa" w:w="3456"/>
            <w:vAlign w:val="center"/>
          </w:tcPr>
          <w:p>
            <w:pPr>
              <w:spacing w:after="40" w:before="40" w:line="240" w:lineRule="auto"/>
            </w:pPr>
            <w:r>
              <w:rPr>
                <w:rFonts w:ascii="Calibri" w:hAnsi="Calibri"/>
                <w:b w:val="0"/>
                <w:sz w:val="20"/>
              </w:rPr>
              <w:t>H ; sans Fin¹</w:t>
            </w:r>
          </w:p>
        </w:tc>
      </w:tr>
    </w:tbl>
    <w:p>
      <w:pPr>
        <w:spacing w:after="0"/>
      </w:pPr>
      <w:r>
        <w:rPr>
          <w:b w:val="0"/>
        </w:rPr>
      </w:r>
    </w:p>
    <w:p>
      <w:r>
        <w:rPr>
          <w:b w:val="0"/>
        </w:rPr>
        <w:t>¹ La moyenne de comparaison exclut Fin. Cela ne décrit pas la composition finale du pilier de Fin, donnée page 17.</w:t>
      </w:r>
    </w:p>
    <w:p>
      <w:pPr>
        <w:pStyle w:val="Heading2"/>
      </w:pPr>
      <w:r>
        <w:t>Fenêtres et différences avec EU</w:t>
      </w:r>
    </w:p>
    <w:p>
      <w:r>
        <w:rPr>
          <w:b w:val="0"/>
        </w:rPr>
        <w:t>La fenêtre reste de 61 observations, sauf les deux multiples price_fcf et ev_ebitda de Tech sur 37 observations. Leverage US utilise H+X ; Leverage EU utilise H seul. Le ratio debt_equity n’entre pas dans Leverage US.</w:t>
      </w:r>
    </w:p>
    <w:p>
      <w:r>
        <w:rPr>
          <w:b w:val="0"/>
        </w:rPr>
        <w:t>Le sous-score pe est calculé pour les secteurs US. Il est utilisé dans Value pour Fin. Il figure dans le tableau long des mesures et scores d’Output, mais pas dans les trois lignes courtes de Value du scorecard d’origine.</w:t>
      </w:r>
    </w:p>
    <w:p>
      <w:r>
        <w:rPr>
          <w:b w:val="0"/>
        </w:rPr>
        <w:t>Growth US calcule quatre sous-scores disponibles. La composition standard en utilise deux seulement ; Fin en utilise deux autres. Il faut donc distinguer une variable calculée d’une variable retenue dans le pilier.</w:t>
      </w:r>
    </w:p>
    <w:p>
      <w:pPr>
        <w:spacing w:before="100" w:after="0"/>
      </w:pPr>
      <w:r>
        <w:rPr>
          <w:b w:val="0"/>
          <w:color w:val="505050"/>
          <w:sz w:val="18"/>
        </w:rPr>
        <w:t>Source : local_config.py → US_CONFIG, historical_variables, pillar_composition ; excel_output.py → DETAIL_COLUMNS, build_output.</w:t>
      </w:r>
    </w:p>
    <w:p>
      <w:r>
        <w:br w:type="page"/>
      </w:r>
    </w:p>
    <w:p>
      <w:pPr>
        <w:spacing w:after="40"/>
      </w:pPr>
      <w:r>
        <w:rPr>
          <w:b w:val="0"/>
          <w:color w:val="555555"/>
          <w:sz w:val="18"/>
        </w:rPr>
        <w:t>ANNEXE B — MÉTHODE</w:t>
      </w:r>
    </w:p>
    <w:p>
      <w:pPr>
        <w:pStyle w:val="Heading1"/>
      </w:pPr>
      <w:r>
        <w:t>B5. Composition des six piliers</w:t>
      </w:r>
    </w:p>
    <w:p>
      <w:r>
        <w:rPr>
          <w:b w:val="0"/>
        </w:rPr>
        <w:t>Pour chaque secteur, le pilier est la moyenne arithmétique des sous-scores sélectionnés ci-dessous. Si l’un de ces sous-scores manque, le pilier est absent. Le code ne calcule pas une moyenne partielle avec les autres sous-scores.</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1584"/>
        <w:gridCol w:w="4320"/>
        <w:gridCol w:w="4320"/>
      </w:tblGrid>
      <w:tr>
        <w:trPr>
          <w:cantSplit/>
          <w:tblHeader/>
        </w:trPr>
        <w:tc>
          <w:tcPr>
            <w:tcW w:type="dxa" w:w="1584"/>
            <w:vAlign w:val="center"/>
            <w:shd w:fill="E8E8E8"/>
          </w:tcPr>
          <w:p>
            <w:pPr>
              <w:spacing w:after="40" w:before="40" w:line="240" w:lineRule="auto"/>
            </w:pPr>
            <w:r>
              <w:rPr>
                <w:rFonts w:ascii="Calibri" w:hAnsi="Calibri"/>
                <w:b/>
                <w:sz w:val="20"/>
              </w:rPr>
              <w:t>Pilier</w:t>
            </w:r>
          </w:p>
        </w:tc>
        <w:tc>
          <w:tcPr>
            <w:tcW w:type="dxa" w:w="4320"/>
            <w:vAlign w:val="center"/>
            <w:shd w:fill="E8E8E8"/>
          </w:tcPr>
          <w:p>
            <w:pPr>
              <w:spacing w:after="40" w:before="40" w:line="240" w:lineRule="auto"/>
            </w:pPr>
            <w:r>
              <w:rPr>
                <w:rFonts w:ascii="Calibri" w:hAnsi="Calibri"/>
                <w:b/>
                <w:sz w:val="20"/>
              </w:rPr>
              <w:t>EU : composition standard</w:t>
            </w:r>
          </w:p>
        </w:tc>
        <w:tc>
          <w:tcPr>
            <w:tcW w:type="dxa" w:w="4320"/>
            <w:vAlign w:val="center"/>
            <w:shd w:fill="E8E8E8"/>
          </w:tcPr>
          <w:p>
            <w:pPr>
              <w:spacing w:after="40" w:before="40" w:line="240" w:lineRule="auto"/>
            </w:pPr>
            <w:r>
              <w:rPr>
                <w:rFonts w:ascii="Calibri" w:hAnsi="Calibri"/>
                <w:b/>
                <w:sz w:val="20"/>
              </w:rPr>
              <w:t>US : composition standard</w:t>
            </w:r>
          </w:p>
        </w:tc>
      </w:tr>
      <w:tr>
        <w:trPr>
          <w:cantSplit/>
        </w:trPr>
        <w:tc>
          <w:tcPr>
            <w:tcW w:type="dxa" w:w="1584"/>
            <w:vAlign w:val="center"/>
          </w:tcPr>
          <w:p>
            <w:pPr>
              <w:spacing w:after="40" w:before="40" w:line="240" w:lineRule="auto"/>
            </w:pPr>
            <w:r>
              <w:rPr>
                <w:rFonts w:ascii="Calibri" w:hAnsi="Calibri"/>
                <w:b w:val="0"/>
                <w:sz w:val="20"/>
              </w:rPr>
              <w:t>Leverage</w:t>
            </w:r>
          </w:p>
        </w:tc>
        <w:tc>
          <w:tcPr>
            <w:tcW w:type="dxa" w:w="4320"/>
            <w:vAlign w:val="center"/>
          </w:tcPr>
          <w:p>
            <w:pPr>
              <w:spacing w:after="40" w:before="40" w:line="240" w:lineRule="auto"/>
            </w:pPr>
            <w:r>
              <w:rPr>
                <w:rFonts w:ascii="Calibri" w:hAnsi="Calibri"/>
                <w:b w:val="0"/>
                <w:sz w:val="20"/>
              </w:rPr>
              <w:t>net_debt_ebitda</w:t>
              <w:br/>
              <w:t>fcf_total_debt</w:t>
              <w:br/>
              <w:t>debt_equity</w:t>
            </w:r>
          </w:p>
        </w:tc>
        <w:tc>
          <w:tcPr>
            <w:tcW w:type="dxa" w:w="4320"/>
            <w:vAlign w:val="center"/>
          </w:tcPr>
          <w:p>
            <w:pPr>
              <w:spacing w:after="40" w:before="40" w:line="240" w:lineRule="auto"/>
            </w:pPr>
            <w:r>
              <w:rPr>
                <w:rFonts w:ascii="Calibri" w:hAnsi="Calibri"/>
                <w:b w:val="0"/>
                <w:sz w:val="20"/>
              </w:rPr>
              <w:t>net_debt_ebitda</w:t>
              <w:br/>
              <w:t>fcf_total_debt</w:t>
            </w:r>
          </w:p>
        </w:tc>
      </w:tr>
      <w:tr>
        <w:trPr>
          <w:cantSplit/>
        </w:trPr>
        <w:tc>
          <w:tcPr>
            <w:tcW w:type="dxa" w:w="1584"/>
            <w:vAlign w:val="center"/>
            <w:shd w:fill="F7F7F7"/>
          </w:tcPr>
          <w:p>
            <w:pPr>
              <w:spacing w:after="40" w:before="40" w:line="240" w:lineRule="auto"/>
            </w:pPr>
            <w:r>
              <w:rPr>
                <w:rFonts w:ascii="Calibri" w:hAnsi="Calibri"/>
                <w:b w:val="0"/>
                <w:sz w:val="20"/>
              </w:rPr>
              <w:t>Margin</w:t>
            </w:r>
          </w:p>
        </w:tc>
        <w:tc>
          <w:tcPr>
            <w:tcW w:type="dxa" w:w="4320"/>
            <w:vAlign w:val="center"/>
            <w:shd w:fill="F7F7F7"/>
          </w:tcPr>
          <w:p>
            <w:pPr>
              <w:spacing w:after="40" w:before="40" w:line="240" w:lineRule="auto"/>
            </w:pPr>
            <w:r>
              <w:rPr>
                <w:rFonts w:ascii="Calibri" w:hAnsi="Calibri"/>
                <w:b w:val="0"/>
                <w:sz w:val="20"/>
              </w:rPr>
              <w:t>operating_margin</w:t>
              <w:br/>
              <w:t>net_margin</w:t>
              <w:br/>
              <w:t>ebitda_margin</w:t>
            </w:r>
          </w:p>
        </w:tc>
        <w:tc>
          <w:tcPr>
            <w:tcW w:type="dxa" w:w="4320"/>
            <w:vAlign w:val="center"/>
            <w:shd w:fill="F7F7F7"/>
          </w:tcPr>
          <w:p>
            <w:pPr>
              <w:spacing w:after="40" w:before="40" w:line="240" w:lineRule="auto"/>
            </w:pPr>
            <w:r>
              <w:rPr>
                <w:rFonts w:ascii="Calibri" w:hAnsi="Calibri"/>
                <w:b w:val="0"/>
                <w:sz w:val="20"/>
              </w:rPr>
              <w:t>operating_margin</w:t>
              <w:br/>
              <w:t>net_margin</w:t>
              <w:br/>
              <w:t>ebitda_margin</w:t>
            </w:r>
          </w:p>
        </w:tc>
      </w:tr>
      <w:tr>
        <w:trPr>
          <w:cantSplit/>
        </w:trPr>
        <w:tc>
          <w:tcPr>
            <w:tcW w:type="dxa" w:w="1584"/>
            <w:vAlign w:val="center"/>
          </w:tcPr>
          <w:p>
            <w:pPr>
              <w:spacing w:after="40" w:before="40" w:line="240" w:lineRule="auto"/>
            </w:pPr>
            <w:r>
              <w:rPr>
                <w:rFonts w:ascii="Calibri" w:hAnsi="Calibri"/>
                <w:b w:val="0"/>
                <w:sz w:val="20"/>
              </w:rPr>
              <w:t>Value</w:t>
            </w:r>
          </w:p>
        </w:tc>
        <w:tc>
          <w:tcPr>
            <w:tcW w:type="dxa" w:w="4320"/>
            <w:vAlign w:val="center"/>
          </w:tcPr>
          <w:p>
            <w:pPr>
              <w:spacing w:after="40" w:before="40" w:line="240" w:lineRule="auto"/>
            </w:pPr>
            <w:r>
              <w:rPr>
                <w:rFonts w:ascii="Calibri" w:hAnsi="Calibri"/>
                <w:b w:val="0"/>
                <w:sz w:val="20"/>
              </w:rPr>
              <w:t>price_fcf</w:t>
              <w:br/>
              <w:t>ev_ebitda</w:t>
              <w:br/>
              <w:t>price_sales</w:t>
            </w:r>
          </w:p>
        </w:tc>
        <w:tc>
          <w:tcPr>
            <w:tcW w:type="dxa" w:w="4320"/>
            <w:vAlign w:val="center"/>
          </w:tcPr>
          <w:p>
            <w:pPr>
              <w:spacing w:after="40" w:before="40" w:line="240" w:lineRule="auto"/>
            </w:pPr>
            <w:r>
              <w:rPr>
                <w:rFonts w:ascii="Calibri" w:hAnsi="Calibri"/>
                <w:b w:val="0"/>
                <w:sz w:val="20"/>
              </w:rPr>
              <w:t>price_fcf</w:t>
              <w:br/>
              <w:t>ev_ebitda</w:t>
              <w:br/>
              <w:t>price_sales</w:t>
            </w:r>
          </w:p>
        </w:tc>
      </w:tr>
      <w:tr>
        <w:trPr>
          <w:cantSplit/>
        </w:trPr>
        <w:tc>
          <w:tcPr>
            <w:tcW w:type="dxa" w:w="1584"/>
            <w:vAlign w:val="center"/>
            <w:shd w:fill="F7F7F7"/>
          </w:tcPr>
          <w:p>
            <w:pPr>
              <w:spacing w:after="40" w:before="40" w:line="240" w:lineRule="auto"/>
            </w:pPr>
            <w:r>
              <w:rPr>
                <w:rFonts w:ascii="Calibri" w:hAnsi="Calibri"/>
                <w:b w:val="0"/>
                <w:sz w:val="20"/>
              </w:rPr>
              <w:t>Momentum</w:t>
            </w:r>
          </w:p>
        </w:tc>
        <w:tc>
          <w:tcPr>
            <w:tcW w:type="dxa" w:w="4320"/>
            <w:vAlign w:val="center"/>
            <w:shd w:fill="F7F7F7"/>
          </w:tcPr>
          <w:p>
            <w:pPr>
              <w:spacing w:after="40" w:before="40" w:line="240" w:lineRule="auto"/>
            </w:pPr>
            <w:r>
              <w:rPr>
                <w:rFonts w:ascii="Calibri" w:hAnsi="Calibri"/>
                <w:b w:val="0"/>
                <w:sz w:val="20"/>
              </w:rPr>
              <w:t>momentum_6m_1m</w:t>
              <w:br/>
              <w:t>momentum_12m_1m</w:t>
              <w:br/>
              <w:t>earnings_revision_ratio</w:t>
            </w:r>
          </w:p>
        </w:tc>
        <w:tc>
          <w:tcPr>
            <w:tcW w:type="dxa" w:w="4320"/>
            <w:vAlign w:val="center"/>
            <w:shd w:fill="F7F7F7"/>
          </w:tcPr>
          <w:p>
            <w:pPr>
              <w:spacing w:after="40" w:before="40" w:line="240" w:lineRule="auto"/>
            </w:pPr>
            <w:r>
              <w:rPr>
                <w:rFonts w:ascii="Calibri" w:hAnsi="Calibri"/>
                <w:b w:val="0"/>
                <w:sz w:val="20"/>
              </w:rPr>
              <w:t>Les mêmes trois variables</w:t>
            </w:r>
          </w:p>
        </w:tc>
      </w:tr>
      <w:tr>
        <w:trPr>
          <w:cantSplit/>
        </w:trPr>
        <w:tc>
          <w:tcPr>
            <w:tcW w:type="dxa" w:w="1584"/>
            <w:vAlign w:val="center"/>
          </w:tcPr>
          <w:p>
            <w:pPr>
              <w:spacing w:after="40" w:before="40" w:line="240" w:lineRule="auto"/>
            </w:pPr>
            <w:r>
              <w:rPr>
                <w:rFonts w:ascii="Calibri" w:hAnsi="Calibri"/>
                <w:b w:val="0"/>
                <w:sz w:val="20"/>
              </w:rPr>
              <w:t>Growth</w:t>
            </w:r>
          </w:p>
        </w:tc>
        <w:tc>
          <w:tcPr>
            <w:tcW w:type="dxa" w:w="4320"/>
            <w:vAlign w:val="center"/>
          </w:tcPr>
          <w:p>
            <w:pPr>
              <w:spacing w:after="40" w:before="40" w:line="240" w:lineRule="auto"/>
            </w:pPr>
            <w:r>
              <w:rPr>
                <w:rFonts w:ascii="Calibri" w:hAnsi="Calibri"/>
                <w:b w:val="0"/>
                <w:sz w:val="20"/>
              </w:rPr>
              <w:t>eps_growth</w:t>
              <w:br/>
              <w:t>sales_growth</w:t>
              <w:br/>
              <w:t>ebitda_growth</w:t>
            </w:r>
          </w:p>
        </w:tc>
        <w:tc>
          <w:tcPr>
            <w:tcW w:type="dxa" w:w="4320"/>
            <w:vAlign w:val="center"/>
          </w:tcPr>
          <w:p>
            <w:pPr>
              <w:spacing w:after="40" w:before="40" w:line="240" w:lineRule="auto"/>
            </w:pPr>
            <w:r>
              <w:rPr>
                <w:rFonts w:ascii="Calibri" w:hAnsi="Calibri"/>
                <w:b w:val="0"/>
                <w:sz w:val="20"/>
              </w:rPr>
              <w:t>cash_flow_growth</w:t>
              <w:br/>
              <w:t>ebitda_growth</w:t>
            </w:r>
          </w:p>
        </w:tc>
      </w:tr>
      <w:tr>
        <w:trPr>
          <w:cantSplit/>
        </w:trPr>
        <w:tc>
          <w:tcPr>
            <w:tcW w:type="dxa" w:w="1584"/>
            <w:vAlign w:val="center"/>
            <w:shd w:fill="F7F7F7"/>
          </w:tcPr>
          <w:p>
            <w:pPr>
              <w:spacing w:after="40" w:before="40" w:line="240" w:lineRule="auto"/>
            </w:pPr>
            <w:r>
              <w:rPr>
                <w:rFonts w:ascii="Calibri" w:hAnsi="Calibri"/>
                <w:b w:val="0"/>
                <w:sz w:val="20"/>
              </w:rPr>
              <w:t>Volatility</w:t>
            </w:r>
          </w:p>
        </w:tc>
        <w:tc>
          <w:tcPr>
            <w:tcW w:type="dxa" w:w="4320"/>
            <w:vAlign w:val="center"/>
            <w:shd w:fill="F7F7F7"/>
          </w:tcPr>
          <w:p>
            <w:pPr>
              <w:spacing w:after="40" w:before="40" w:line="240" w:lineRule="auto"/>
            </w:pPr>
            <w:r>
              <w:rPr>
                <w:rFonts w:ascii="Calibri" w:hAnsi="Calibri"/>
                <w:b w:val="0"/>
                <w:sz w:val="20"/>
              </w:rPr>
              <w:t>volatility_6m</w:t>
              <w:br/>
              <w:t>downside_volatility_18m</w:t>
            </w:r>
          </w:p>
        </w:tc>
        <w:tc>
          <w:tcPr>
            <w:tcW w:type="dxa" w:w="4320"/>
            <w:vAlign w:val="center"/>
            <w:shd w:fill="F7F7F7"/>
          </w:tcPr>
          <w:p>
            <w:pPr>
              <w:spacing w:after="40" w:before="40" w:line="240" w:lineRule="auto"/>
            </w:pPr>
            <w:r>
              <w:rPr>
                <w:rFonts w:ascii="Calibri" w:hAnsi="Calibri"/>
                <w:b w:val="0"/>
                <w:sz w:val="20"/>
              </w:rPr>
              <w:t>Les mêmes deux variables</w:t>
            </w:r>
          </w:p>
        </w:tc>
      </w:tr>
    </w:tbl>
    <w:p>
      <w:pPr>
        <w:spacing w:after="0"/>
      </w:pPr>
      <w:r>
        <w:rPr>
          <w:b w:val="0"/>
        </w:rPr>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2016"/>
        <w:gridCol w:w="4104"/>
        <w:gridCol w:w="4104"/>
      </w:tblGrid>
      <w:tr>
        <w:trPr>
          <w:cantSplit/>
          <w:tblHeader/>
        </w:trPr>
        <w:tc>
          <w:tcPr>
            <w:tcW w:type="dxa" w:w="2016"/>
            <w:vAlign w:val="center"/>
            <w:shd w:fill="E8E8E8"/>
          </w:tcPr>
          <w:p>
            <w:pPr>
              <w:spacing w:after="40" w:before="40" w:line="240" w:lineRule="auto"/>
            </w:pPr>
            <w:r>
              <w:rPr>
                <w:rFonts w:ascii="Calibri" w:hAnsi="Calibri"/>
                <w:b/>
                <w:sz w:val="20"/>
              </w:rPr>
              <w:t>Exception</w:t>
            </w:r>
          </w:p>
        </w:tc>
        <w:tc>
          <w:tcPr>
            <w:tcW w:type="dxa" w:w="4104"/>
            <w:vAlign w:val="center"/>
            <w:shd w:fill="E8E8E8"/>
          </w:tcPr>
          <w:p>
            <w:pPr>
              <w:spacing w:after="40" w:before="40" w:line="240" w:lineRule="auto"/>
            </w:pPr>
            <w:r>
              <w:rPr>
                <w:rFonts w:ascii="Calibri" w:hAnsi="Calibri"/>
                <w:b/>
                <w:sz w:val="20"/>
              </w:rPr>
              <w:t>EU</w:t>
            </w:r>
          </w:p>
        </w:tc>
        <w:tc>
          <w:tcPr>
            <w:tcW w:type="dxa" w:w="4104"/>
            <w:vAlign w:val="center"/>
            <w:shd w:fill="E8E8E8"/>
          </w:tcPr>
          <w:p>
            <w:pPr>
              <w:spacing w:after="40" w:before="40" w:line="240" w:lineRule="auto"/>
            </w:pPr>
            <w:r>
              <w:rPr>
                <w:rFonts w:ascii="Calibri" w:hAnsi="Calibri"/>
                <w:b/>
                <w:sz w:val="20"/>
              </w:rPr>
              <w:t>US</w:t>
            </w:r>
          </w:p>
        </w:tc>
      </w:tr>
      <w:tr>
        <w:trPr>
          <w:cantSplit/>
        </w:trPr>
        <w:tc>
          <w:tcPr>
            <w:tcW w:type="dxa" w:w="2016"/>
            <w:vAlign w:val="center"/>
          </w:tcPr>
          <w:p>
            <w:pPr>
              <w:spacing w:after="40" w:before="40" w:line="240" w:lineRule="auto"/>
            </w:pPr>
            <w:r>
              <w:rPr>
                <w:rFonts w:ascii="Calibri" w:hAnsi="Calibri"/>
                <w:b w:val="0"/>
                <w:sz w:val="20"/>
              </w:rPr>
              <w:t>Fin — Value</w:t>
            </w:r>
          </w:p>
        </w:tc>
        <w:tc>
          <w:tcPr>
            <w:tcW w:type="dxa" w:w="4104"/>
            <w:vAlign w:val="center"/>
          </w:tcPr>
          <w:p>
            <w:pPr>
              <w:spacing w:after="40" w:before="40" w:line="240" w:lineRule="auto"/>
            </w:pPr>
            <w:r>
              <w:rPr>
                <w:rFonts w:ascii="Calibri" w:hAnsi="Calibri"/>
                <w:b w:val="0"/>
                <w:sz w:val="20"/>
              </w:rPr>
              <w:t>ev_ebitda + price_sales</w:t>
            </w:r>
          </w:p>
        </w:tc>
        <w:tc>
          <w:tcPr>
            <w:tcW w:type="dxa" w:w="4104"/>
            <w:vAlign w:val="center"/>
          </w:tcPr>
          <w:p>
            <w:pPr>
              <w:spacing w:after="40" w:before="40" w:line="240" w:lineRule="auto"/>
            </w:pPr>
            <w:r>
              <w:rPr>
                <w:rFonts w:ascii="Calibri" w:hAnsi="Calibri"/>
                <w:b w:val="0"/>
                <w:sz w:val="20"/>
              </w:rPr>
              <w:t>pe + price_sales</w:t>
            </w:r>
          </w:p>
        </w:tc>
      </w:tr>
      <w:tr>
        <w:trPr>
          <w:cantSplit/>
        </w:trPr>
        <w:tc>
          <w:tcPr>
            <w:tcW w:type="dxa" w:w="2016"/>
            <w:vAlign w:val="center"/>
            <w:shd w:fill="F7F7F7"/>
          </w:tcPr>
          <w:p>
            <w:pPr>
              <w:spacing w:after="40" w:before="40" w:line="240" w:lineRule="auto"/>
            </w:pPr>
            <w:r>
              <w:rPr>
                <w:rFonts w:ascii="Calibri" w:hAnsi="Calibri"/>
                <w:b w:val="0"/>
                <w:sz w:val="20"/>
              </w:rPr>
              <w:t>Fin — Growth</w:t>
            </w:r>
          </w:p>
        </w:tc>
        <w:tc>
          <w:tcPr>
            <w:tcW w:type="dxa" w:w="4104"/>
            <w:vAlign w:val="center"/>
            <w:shd w:fill="F7F7F7"/>
          </w:tcPr>
          <w:p>
            <w:pPr>
              <w:spacing w:after="40" w:before="40" w:line="240" w:lineRule="auto"/>
            </w:pPr>
            <w:r>
              <w:rPr>
                <w:rFonts w:ascii="Calibri" w:hAnsi="Calibri"/>
                <w:b w:val="0"/>
                <w:sz w:val="20"/>
              </w:rPr>
              <w:t>eps_growth + sales_growth</w:t>
            </w:r>
          </w:p>
        </w:tc>
        <w:tc>
          <w:tcPr>
            <w:tcW w:type="dxa" w:w="4104"/>
            <w:vAlign w:val="center"/>
            <w:shd w:fill="F7F7F7"/>
          </w:tcPr>
          <w:p>
            <w:pPr>
              <w:spacing w:after="40" w:before="40" w:line="240" w:lineRule="auto"/>
            </w:pPr>
            <w:r>
              <w:rPr>
                <w:rFonts w:ascii="Calibri" w:hAnsi="Calibri"/>
                <w:b w:val="0"/>
                <w:sz w:val="20"/>
              </w:rPr>
              <w:t>eps_growth + sales_growth</w:t>
            </w:r>
          </w:p>
        </w:tc>
      </w:tr>
      <w:tr>
        <w:trPr>
          <w:cantSplit/>
        </w:trPr>
        <w:tc>
          <w:tcPr>
            <w:tcW w:type="dxa" w:w="2016"/>
            <w:vAlign w:val="center"/>
          </w:tcPr>
          <w:p>
            <w:pPr>
              <w:spacing w:after="40" w:before="40" w:line="240" w:lineRule="auto"/>
            </w:pPr>
            <w:r>
              <w:rPr>
                <w:rFonts w:ascii="Calibri" w:hAnsi="Calibri"/>
                <w:b w:val="0"/>
                <w:sz w:val="20"/>
              </w:rPr>
              <w:t>Tech — Value</w:t>
            </w:r>
          </w:p>
        </w:tc>
        <w:tc>
          <w:tcPr>
            <w:tcW w:type="dxa" w:w="4104"/>
            <w:vAlign w:val="center"/>
          </w:tcPr>
          <w:p>
            <w:pPr>
              <w:spacing w:after="40" w:before="40" w:line="240" w:lineRule="auto"/>
            </w:pPr>
            <w:r>
              <w:rPr>
                <w:rFonts w:ascii="Calibri" w:hAnsi="Calibri"/>
                <w:b w:val="0"/>
                <w:sz w:val="20"/>
              </w:rPr>
              <w:t>price_fcf + ev_ebitda</w:t>
            </w:r>
          </w:p>
        </w:tc>
        <w:tc>
          <w:tcPr>
            <w:tcW w:type="dxa" w:w="4104"/>
            <w:vAlign w:val="center"/>
          </w:tcPr>
          <w:p>
            <w:pPr>
              <w:spacing w:after="40" w:before="40" w:line="240" w:lineRule="auto"/>
            </w:pPr>
            <w:r>
              <w:rPr>
                <w:rFonts w:ascii="Calibri" w:hAnsi="Calibri"/>
                <w:b w:val="0"/>
                <w:sz w:val="20"/>
              </w:rPr>
              <w:t>price_fcf + ev_ebitda</w:t>
            </w:r>
          </w:p>
        </w:tc>
      </w:tr>
    </w:tbl>
    <w:p>
      <w:pPr>
        <w:spacing w:after="0"/>
      </w:pPr>
      <w:r>
        <w:rPr>
          <w:b w:val="0"/>
        </w:rPr>
      </w:r>
    </w:p>
    <w:p>
      <w:r>
        <w:rPr>
          <w:b w:val="0"/>
        </w:rPr>
        <w:t>Les autres piliers de Fin et Tech gardent leur composition standard. Tous les autres secteurs utilisent les compositions standard de leur marché. Travel &amp; leisure garde aussi ces compositions ; sa règle particulière intervient plus tard, sur les votes.</w:t>
      </w:r>
    </w:p>
    <w:p>
      <w:pPr>
        <w:pStyle w:val="Heading2"/>
      </w:pPr>
      <w:r>
        <w:t>Passage du score du pilier à son rang</w:t>
      </w:r>
    </w:p>
    <w:p>
      <w:r>
        <w:rPr>
          <w:b w:val="0"/>
        </w:rPr>
        <w:t>Les scores des secteurs présents sont classés par ordre croissant. Le meilleur score reçoit le rang le plus élevé. Les ex æquo prennent le rang minimal du groupe. Growth EU est arrondi à 14 décimales avant ce classement ; cet arrondi n’est pas appliqué à Growth US.</w:t>
      </w:r>
    </w:p>
    <w:p>
      <w:pPr>
        <w:spacing w:before="100" w:after="0"/>
      </w:pPr>
      <w:r>
        <w:rPr>
          <w:b w:val="0"/>
          <w:color w:val="505050"/>
          <w:sz w:val="18"/>
        </w:rPr>
        <w:t>Source : model_secto.py → compose_pillar, compute_pillar_ranks ; local_config.py → pillar_composition, exclusions, pillar_rounding.</w:t>
      </w:r>
    </w:p>
    <w:p>
      <w:r>
        <w:br w:type="page"/>
      </w:r>
    </w:p>
    <w:p>
      <w:pPr>
        <w:spacing w:after="40"/>
      </w:pPr>
      <w:r>
        <w:rPr>
          <w:b w:val="0"/>
          <w:color w:val="555555"/>
          <w:sz w:val="18"/>
        </w:rPr>
        <w:t>ANNEXE B — MÉTHODE</w:t>
      </w:r>
    </w:p>
    <w:p>
      <w:pPr>
        <w:pStyle w:val="Heading1"/>
      </w:pPr>
      <w:r>
        <w:t>B6. Momentum et volatilité</w:t>
      </w:r>
    </w:p>
    <w:p>
      <w:pPr>
        <w:pStyle w:val="Heading2"/>
      </w:pPr>
      <w:r>
        <w:t>Momentum : trois signaux</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5904"/>
        <w:gridCol w:w="2160"/>
        <w:gridCol w:w="2160"/>
      </w:tblGrid>
      <w:tr>
        <w:trPr>
          <w:cantSplit/>
          <w:tblHeader/>
        </w:trPr>
        <w:tc>
          <w:tcPr>
            <w:tcW w:type="dxa" w:w="5904"/>
            <w:vAlign w:val="center"/>
            <w:shd w:fill="E8E8E8"/>
          </w:tcPr>
          <w:p>
            <w:pPr>
              <w:spacing w:after="40" w:before="40" w:line="240" w:lineRule="auto"/>
            </w:pPr>
            <w:r>
              <w:rPr>
                <w:rFonts w:ascii="Calibri" w:hAnsi="Calibri"/>
                <w:b/>
                <w:sz w:val="20"/>
              </w:rPr>
              <w:t>Entrée dans MOM_FMA</w:t>
            </w:r>
          </w:p>
        </w:tc>
        <w:tc>
          <w:tcPr>
            <w:tcW w:type="dxa" w:w="2160"/>
            <w:vAlign w:val="center"/>
            <w:shd w:fill="E8E8E8"/>
          </w:tcPr>
          <w:p>
            <w:pPr>
              <w:spacing w:after="40" w:before="40" w:line="240" w:lineRule="auto"/>
            </w:pPr>
            <w:r>
              <w:rPr>
                <w:rFonts w:ascii="Calibri" w:hAnsi="Calibri"/>
                <w:b/>
                <w:sz w:val="20"/>
              </w:rPr>
              <w:t>EU</w:t>
            </w:r>
          </w:p>
        </w:tc>
        <w:tc>
          <w:tcPr>
            <w:tcW w:type="dxa" w:w="2160"/>
            <w:vAlign w:val="center"/>
            <w:shd w:fill="E8E8E8"/>
          </w:tcPr>
          <w:p>
            <w:pPr>
              <w:spacing w:after="40" w:before="40" w:line="240" w:lineRule="auto"/>
            </w:pPr>
            <w:r>
              <w:rPr>
                <w:rFonts w:ascii="Calibri" w:hAnsi="Calibri"/>
                <w:b/>
                <w:sz w:val="20"/>
              </w:rPr>
              <w:t>US</w:t>
            </w:r>
          </w:p>
        </w:tc>
      </w:tr>
      <w:tr>
        <w:trPr>
          <w:cantSplit/>
        </w:trPr>
        <w:tc>
          <w:tcPr>
            <w:tcW w:type="dxa" w:w="5904"/>
            <w:vAlign w:val="center"/>
          </w:tcPr>
          <w:p>
            <w:pPr>
              <w:spacing w:after="40" w:before="40" w:line="240" w:lineRule="auto"/>
            </w:pPr>
            <w:r>
              <w:rPr>
                <w:rFonts w:ascii="Calibri" w:hAnsi="Calibri"/>
                <w:b w:val="0"/>
                <w:sz w:val="20"/>
              </w:rPr>
              <w:t>Prix P</w:t>
            </w:r>
          </w:p>
        </w:tc>
        <w:tc>
          <w:tcPr>
            <w:tcW w:type="dxa" w:w="2160"/>
            <w:vAlign w:val="center"/>
          </w:tcPr>
          <w:p>
            <w:pPr>
              <w:spacing w:after="40" w:before="40" w:line="240" w:lineRule="auto"/>
            </w:pPr>
            <w:r>
              <w:rPr>
                <w:rFonts w:ascii="Calibri" w:hAnsi="Calibri"/>
                <w:b w:val="0"/>
                <w:sz w:val="20"/>
              </w:rPr>
              <w:t>AT</w:t>
            </w:r>
          </w:p>
        </w:tc>
        <w:tc>
          <w:tcPr>
            <w:tcW w:type="dxa" w:w="2160"/>
            <w:vAlign w:val="center"/>
          </w:tcPr>
          <w:p>
            <w:pPr>
              <w:spacing w:after="40" w:before="40" w:line="240" w:lineRule="auto"/>
            </w:pPr>
            <w:r>
              <w:rPr>
                <w:rFonts w:ascii="Calibri" w:hAnsi="Calibri"/>
                <w:b w:val="0"/>
                <w:sz w:val="20"/>
              </w:rPr>
              <w:t>AQ</w:t>
            </w:r>
          </w:p>
        </w:tc>
      </w:tr>
      <w:tr>
        <w:trPr>
          <w:cantSplit/>
        </w:trPr>
        <w:tc>
          <w:tcPr>
            <w:tcW w:type="dxa" w:w="5904"/>
            <w:vAlign w:val="center"/>
            <w:shd w:fill="F7F7F7"/>
          </w:tcPr>
          <w:p>
            <w:pPr>
              <w:spacing w:after="40" w:before="40" w:line="240" w:lineRule="auto"/>
            </w:pPr>
            <w:r>
              <w:rPr>
                <w:rFonts w:ascii="Calibri" w:hAnsi="Calibri"/>
                <w:b w:val="0"/>
                <w:sz w:val="20"/>
              </w:rPr>
              <w:t>Révisions en hausse / baisse / stables</w:t>
            </w:r>
          </w:p>
        </w:tc>
        <w:tc>
          <w:tcPr>
            <w:tcW w:type="dxa" w:w="2160"/>
            <w:vAlign w:val="center"/>
            <w:shd w:fill="F7F7F7"/>
          </w:tcPr>
          <w:p>
            <w:pPr>
              <w:spacing w:after="40" w:before="40" w:line="240" w:lineRule="auto"/>
            </w:pPr>
            <w:r>
              <w:rPr>
                <w:rFonts w:ascii="Calibri" w:hAnsi="Calibri"/>
                <w:b w:val="0"/>
                <w:sz w:val="20"/>
              </w:rPr>
              <w:t>DL / DZ / EN</w:t>
            </w:r>
          </w:p>
        </w:tc>
        <w:tc>
          <w:tcPr>
            <w:tcW w:type="dxa" w:w="2160"/>
            <w:vAlign w:val="center"/>
            <w:shd w:fill="F7F7F7"/>
          </w:tcPr>
          <w:p>
            <w:pPr>
              <w:spacing w:after="40" w:before="40" w:line="240" w:lineRule="auto"/>
            </w:pPr>
            <w:r>
              <w:rPr>
                <w:rFonts w:ascii="Calibri" w:hAnsi="Calibri"/>
                <w:b w:val="0"/>
                <w:sz w:val="20"/>
              </w:rPr>
              <w:t>DD / DQ / ED</w:t>
            </w:r>
          </w:p>
        </w:tc>
      </w:tr>
    </w:tbl>
    <w:p>
      <w:pPr>
        <w:spacing w:after="0"/>
      </w:pPr>
      <w:r>
        <w:rPr>
          <w:b w:val="0"/>
        </w:rPr>
      </w:r>
    </w:p>
    <w:p>
      <w:pPr>
        <w:spacing w:after="140" w:line="240" w:lineRule="auto"/>
      </w:pPr>
      <w:r>
        <w:rPr>
          <w:rFonts w:ascii="Consolas" w:hAnsi="Consolas"/>
          <w:b w:val="0"/>
          <w:sz w:val="20"/>
        </w:rPr>
        <w:t>Court = P(t−1) / P(t−6) − 1</w:t>
        <w:br/>
        <w:t>Long  = P(t−1) / P(t−12) − 1</w:t>
        <w:br/>
        <w:t>Révisions = (hausse − baisse) / (hausse + baisse + stables)</w:t>
      </w:r>
    </w:p>
    <w:p>
      <w:r>
        <w:rPr>
          <w:b w:val="0"/>
        </w:rPr>
        <w:t>Pour Tech, EU et US, le numérateur des deux signaux de prix est P(t), le prix courant. Les décalages désignent des positions dans la série. Un trou de calendrier ne crée pas une observation de remplacement.</w:t>
      </w:r>
    </w:p>
    <w:p>
      <w:r>
        <w:rPr>
          <w:b w:val="0"/>
        </w:rPr>
        <w:t>Chaque signal est classé entre secteurs, avec un rang élevé favorable. EU convertit ce rang en 10 × rang / 13. US garde le rang brut de 1 à 12. Momentum est la moyenne des trois scores. Un total de révisions nul n’a pas de traitement spécial et peut produire une valeur absente.</w:t>
      </w:r>
    </w:p>
    <w:p>
      <w:pPr>
        <w:pStyle w:val="Heading2"/>
      </w:pPr>
      <w:r>
        <w:t>Volatility : deux mesures sur les rendements mensuels</w:t>
      </w:r>
    </w:p>
    <w:p>
      <w:pPr>
        <w:spacing w:after="140" w:line="240" w:lineRule="auto"/>
      </w:pPr>
      <w:r>
        <w:rPr>
          <w:rFonts w:ascii="Consolas" w:hAnsi="Consolas"/>
          <w:b w:val="0"/>
          <w:sz w:val="20"/>
        </w:rPr>
        <w:t>r(t) = indice(t) / indice(t−1) − 1</w:t>
        <w:br/>
        <w:t>Vol totale = écart-type échantillon de 7 rendements × √12</w:t>
        <w:br/>
        <w:t>Vol baisse = écart-type des rendements négatifs</w:t>
        <w:br/>
        <w:t xml:space="preserve">             parmi 19 observations × √12</w:t>
      </w:r>
    </w:p>
    <w:p>
      <w:r>
        <w:rPr>
          <w:b w:val="0"/>
        </w:rPr>
        <w:t>Le code utilise ddof=1. Pour la volatilité de baisse, il faut au moins deux rendements négatifs valides. Cette mesure est un écart-type des seuls rendements négatifs, pas une racine de la moyenne des carrés autour de zéro.</w:t>
      </w:r>
    </w:p>
    <w:p>
      <w:r>
        <w:rPr>
          <w:b w:val="0"/>
        </w:rPr>
        <w:t>Les libellés historiques « 6m » et « 18m » incluent le mois courant : les tranches ont donc 7 et 19 observations. Les valeurs absentes sont ignorées dans l’écart-type, sous réserve du nombre minimal d’observations valides.</w:t>
      </w:r>
    </w:p>
    <w:p>
      <w:r>
        <w:rPr>
          <w:b w:val="0"/>
        </w:rPr>
        <w:t>Chaque mesure de volatilité est ensuite centrée par rapport à la moyenne des secteurs et notée sur son historique de 61 observations, avec une faible volatilité favorable. Volatility est la moyenne de ces deux sous-scores. Les indices de Returns_EQ servent aussi aux tableaux de performance.</w:t>
      </w:r>
    </w:p>
    <w:p>
      <w:pPr>
        <w:spacing w:before="100" w:after="0"/>
      </w:pPr>
      <w:r>
        <w:rPr>
          <w:b w:val="0"/>
          <w:color w:val="505050"/>
          <w:sz w:val="18"/>
        </w:rPr>
        <w:t>Source : model_secto.py → compute_momentum, compute_volatility ; data_utils.py → read_sector_returns ; local_config.py → momentum, volatility.</w:t>
      </w:r>
    </w:p>
    <w:p>
      <w:r>
        <w:br w:type="page"/>
      </w:r>
    </w:p>
    <w:p>
      <w:pPr>
        <w:spacing w:after="40"/>
      </w:pPr>
      <w:r>
        <w:rPr>
          <w:b w:val="0"/>
          <w:color w:val="555555"/>
          <w:sz w:val="18"/>
        </w:rPr>
        <w:t>ANNEXE B — MÉTHODE</w:t>
      </w:r>
    </w:p>
    <w:p>
      <w:pPr>
        <w:pStyle w:val="Heading1"/>
      </w:pPr>
      <w:r>
        <w:t>B7. Score macro et choix du cycle</w:t>
      </w:r>
    </w:p>
    <w:p>
      <w:pPr>
        <w:pStyle w:val="Heading2"/>
      </w:pPr>
      <w:r>
        <w:t>Lecture et prolongement du fichier macro</w:t>
      </w:r>
    </w:p>
    <w:p>
      <w:r>
        <w:rPr>
          <w:b w:val="0"/>
        </w:rPr>
        <w:t>Python lit les scores et cycles enregistrés dans maj cycle macro2.xlsx. Après la dernière ligne où le score est numérique et le cycle valide, extend_macro peut prolonger les résultats finaux en mémoire. Il ne télécharge pas les données et ne calcule pas les normalisations amont à la place d’Excel.</w:t>
      </w:r>
    </w:p>
    <w:p>
      <w:r>
        <w:rPr>
          <w:b w:val="0"/>
        </w:rPr>
        <w:t>Le prolongement s’arrête à la première date invalide ou donnée nécessaire absente. Les résultats déjà enregistrés ne sont pas recalculés par cette fonction. Le fichier macro n’est pas réécrit avec les nouveaux scores calculés en mémoire.</w:t>
      </w:r>
    </w:p>
    <w:p>
      <w:pPr>
        <w:pStyle w:val="Heading2"/>
      </w:pPr>
      <w:r>
        <w:t>Cycle simple, commun aux deux marchés</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4464"/>
        <w:gridCol w:w="2880"/>
        <w:gridCol w:w="2880"/>
      </w:tblGrid>
      <w:tr>
        <w:trPr>
          <w:cantSplit/>
          <w:tblHeader/>
        </w:trPr>
        <w:tc>
          <w:tcPr>
            <w:tcW w:type="dxa" w:w="4464"/>
            <w:vAlign w:val="center"/>
            <w:shd w:fill="E8E8E8"/>
          </w:tcPr>
          <w:p>
            <w:pPr>
              <w:spacing w:after="40" w:before="40" w:line="240" w:lineRule="auto"/>
            </w:pPr>
            <w:r>
              <w:rPr>
                <w:rFonts w:ascii="Calibri" w:hAnsi="Calibri"/>
                <w:b/>
                <w:sz w:val="20"/>
              </w:rPr>
              <w:t>Évolution du score</w:t>
            </w:r>
          </w:p>
        </w:tc>
        <w:tc>
          <w:tcPr>
            <w:tcW w:type="dxa" w:w="2880"/>
            <w:vAlign w:val="center"/>
            <w:shd w:fill="E8E8E8"/>
          </w:tcPr>
          <w:p>
            <w:pPr>
              <w:spacing w:after="40" w:before="40" w:line="240" w:lineRule="auto"/>
            </w:pPr>
            <w:r>
              <w:rPr>
                <w:rFonts w:ascii="Calibri" w:hAnsi="Calibri"/>
                <w:b/>
                <w:sz w:val="20"/>
              </w:rPr>
              <w:t>Score actuel ≥ 0</w:t>
            </w:r>
          </w:p>
        </w:tc>
        <w:tc>
          <w:tcPr>
            <w:tcW w:type="dxa" w:w="2880"/>
            <w:vAlign w:val="center"/>
            <w:shd w:fill="E8E8E8"/>
          </w:tcPr>
          <w:p>
            <w:pPr>
              <w:spacing w:after="40" w:before="40" w:line="240" w:lineRule="auto"/>
            </w:pPr>
            <w:r>
              <w:rPr>
                <w:rFonts w:ascii="Calibri" w:hAnsi="Calibri"/>
                <w:b/>
                <w:sz w:val="20"/>
              </w:rPr>
              <w:t>Score actuel &lt; 0</w:t>
            </w:r>
          </w:p>
        </w:tc>
      </w:tr>
      <w:tr>
        <w:trPr>
          <w:cantSplit/>
        </w:trPr>
        <w:tc>
          <w:tcPr>
            <w:tcW w:type="dxa" w:w="4464"/>
            <w:vAlign w:val="center"/>
          </w:tcPr>
          <w:p>
            <w:pPr>
              <w:spacing w:after="40" w:before="40" w:line="240" w:lineRule="auto"/>
            </w:pPr>
            <w:r>
              <w:rPr>
                <w:rFonts w:ascii="Calibri" w:hAnsi="Calibri"/>
                <w:b w:val="0"/>
                <w:sz w:val="20"/>
              </w:rPr>
              <w:t>Score actuel &gt; score précédent</w:t>
            </w:r>
          </w:p>
        </w:tc>
        <w:tc>
          <w:tcPr>
            <w:tcW w:type="dxa" w:w="2880"/>
            <w:vAlign w:val="center"/>
          </w:tcPr>
          <w:p>
            <w:pPr>
              <w:spacing w:after="40" w:before="40" w:line="240" w:lineRule="auto"/>
            </w:pPr>
            <w:r>
              <w:rPr>
                <w:rFonts w:ascii="Calibri" w:hAnsi="Calibri"/>
                <w:b w:val="0"/>
                <w:sz w:val="20"/>
              </w:rPr>
              <w:t>E — Expansion</w:t>
            </w:r>
          </w:p>
        </w:tc>
        <w:tc>
          <w:tcPr>
            <w:tcW w:type="dxa" w:w="2880"/>
            <w:vAlign w:val="center"/>
          </w:tcPr>
          <w:p>
            <w:pPr>
              <w:spacing w:after="40" w:before="40" w:line="240" w:lineRule="auto"/>
            </w:pPr>
            <w:r>
              <w:rPr>
                <w:rFonts w:ascii="Calibri" w:hAnsi="Calibri"/>
                <w:b w:val="0"/>
                <w:sz w:val="20"/>
              </w:rPr>
              <w:t>R — Recovery</w:t>
            </w:r>
          </w:p>
        </w:tc>
      </w:tr>
      <w:tr>
        <w:trPr>
          <w:cantSplit/>
        </w:trPr>
        <w:tc>
          <w:tcPr>
            <w:tcW w:type="dxa" w:w="4464"/>
            <w:vAlign w:val="center"/>
            <w:shd w:fill="F7F7F7"/>
          </w:tcPr>
          <w:p>
            <w:pPr>
              <w:spacing w:after="40" w:before="40" w:line="240" w:lineRule="auto"/>
            </w:pPr>
            <w:r>
              <w:rPr>
                <w:rFonts w:ascii="Calibri" w:hAnsi="Calibri"/>
                <w:b w:val="0"/>
                <w:sz w:val="20"/>
              </w:rPr>
              <w:t>Score actuel ≤ score précédent</w:t>
            </w:r>
          </w:p>
        </w:tc>
        <w:tc>
          <w:tcPr>
            <w:tcW w:type="dxa" w:w="2880"/>
            <w:vAlign w:val="center"/>
            <w:shd w:fill="F7F7F7"/>
          </w:tcPr>
          <w:p>
            <w:pPr>
              <w:spacing w:after="40" w:before="40" w:line="240" w:lineRule="auto"/>
            </w:pPr>
            <w:r>
              <w:rPr>
                <w:rFonts w:ascii="Calibri" w:hAnsi="Calibri"/>
                <w:b w:val="0"/>
                <w:sz w:val="20"/>
              </w:rPr>
              <w:t>SD — Slowdown</w:t>
            </w:r>
          </w:p>
        </w:tc>
        <w:tc>
          <w:tcPr>
            <w:tcW w:type="dxa" w:w="2880"/>
            <w:vAlign w:val="center"/>
            <w:shd w:fill="F7F7F7"/>
          </w:tcPr>
          <w:p>
            <w:pPr>
              <w:spacing w:after="40" w:before="40" w:line="240" w:lineRule="auto"/>
            </w:pPr>
            <w:r>
              <w:rPr>
                <w:rFonts w:ascii="Calibri" w:hAnsi="Calibri"/>
                <w:b w:val="0"/>
                <w:sz w:val="20"/>
              </w:rPr>
              <w:t>C — Contraction</w:t>
            </w:r>
          </w:p>
        </w:tc>
      </w:tr>
    </w:tbl>
    <w:p>
      <w:pPr>
        <w:spacing w:after="0"/>
      </w:pPr>
      <w:r>
        <w:rPr>
          <w:b w:val="0"/>
        </w:rPr>
      </w:r>
    </w:p>
    <w:p>
      <w:pPr>
        <w:pStyle w:val="Heading2"/>
      </w:pPr>
      <w:r>
        <w:t>EU — feuille Europe</w:t>
      </w:r>
    </w:p>
    <w:p>
      <w:pPr>
        <w:spacing w:after="140" w:line="240" w:lineRule="auto"/>
      </w:pPr>
      <w:r>
        <w:rPr>
          <w:rFonts w:ascii="Consolas" w:hAnsi="Consolas"/>
          <w:b w:val="0"/>
          <w:sz w:val="20"/>
        </w:rPr>
        <w:t>R(t) = [D(t−1) + I(t) + N(t)] / 3</w:t>
        <w:br/>
        <w:t>S(t) = cycle simple de R(t)</w:t>
      </w:r>
    </w:p>
    <w:p>
      <w:r>
        <w:rPr>
          <w:b w:val="0"/>
        </w:rPr>
        <w:t>Le seuil a est lu en T1, actuellement 0,05. Le seuil b est lu en W1, actuellement 0,10. Les règles suivantes reprennent les formules du fichier :</w:t>
      </w:r>
    </w:p>
    <w:p>
      <w:pPr>
        <w:pStyle w:val="ListBullet"/>
      </w:pPr>
      <w:r>
        <w:rPr>
          <w:b w:val="0"/>
        </w:rPr>
        <w:t>T(t) = S(t) si |R(t) − R(t−1)| &gt; a ou si R(t) × R(t−1) &lt; 0 ; sinon T(t) = T(t−1).</w:t>
      </w:r>
    </w:p>
    <w:p>
      <w:pPr>
        <w:pStyle w:val="ListBullet"/>
      </w:pPr>
      <w:r>
        <w:rPr>
          <w:b w:val="0"/>
        </w:rPr>
        <w:t>U(t) = R(t) si T(t) diffère de S(t−1) ; sinon U(t) = U(t−1). La comparaison utilise bien S du mois précédent.</w:t>
      </w:r>
    </w:p>
    <w:p>
      <w:pPr>
        <w:pStyle w:val="ListBullet"/>
      </w:pPr>
      <w:r>
        <w:rPr>
          <w:b w:val="0"/>
        </w:rPr>
        <w:t>V(t) = S(t) si |U(t) − U(t−1)| &gt; a, ou si U(t) × U(t−1) &lt; 0, ou si |R(t) − maximum des 12 R précédents| &gt; b ; sinon V(t) = V(t−1).</w:t>
      </w:r>
    </w:p>
    <w:p>
      <w:r>
        <w:rPr>
          <w:b w:val="0"/>
        </w:rPr>
        <w:t>Le cycle utilisé par le modèle EU est V, après ces filtres.</w:t>
      </w:r>
    </w:p>
    <w:p>
      <w:pPr>
        <w:pStyle w:val="Heading2"/>
      </w:pPr>
      <w:r>
        <w:t>US — feuille US</w:t>
      </w:r>
    </w:p>
    <w:p>
      <w:pPr>
        <w:spacing w:after="140" w:line="240" w:lineRule="auto"/>
      </w:pPr>
      <w:r>
        <w:rPr>
          <w:rFonts w:ascii="Consolas" w:hAnsi="Consolas"/>
          <w:b w:val="0"/>
          <w:sz w:val="20"/>
        </w:rPr>
        <w:t>Y(t) = 0,3 M(t) + 0,3 J(t) + 0,3 G(t−1) + 0,1 D(t)</w:t>
        <w:br/>
        <w:t>Z(t) = cycle simple de Y(t)</w:t>
      </w:r>
    </w:p>
    <w:p>
      <w:r>
        <w:rPr>
          <w:b w:val="0"/>
        </w:rPr>
        <w:t>Le modèle US utilise Z. Les filtres T, U et V d’Europe ne sont pas appliqués au marché US.</w:t>
      </w:r>
    </w:p>
    <w:p>
      <w:pPr>
        <w:spacing w:before="100" w:after="0"/>
      </w:pPr>
      <w:r>
        <w:rPr>
          <w:b w:val="0"/>
          <w:color w:val="505050"/>
          <w:sz w:val="18"/>
        </w:rPr>
        <w:t>Source : data_utils.py → extend_macro, read_macro_data ; maj cycle macro2.xlsx → Europe / US.</w:t>
      </w:r>
    </w:p>
    <w:p>
      <w:r>
        <w:br w:type="page"/>
      </w:r>
    </w:p>
    <w:p>
      <w:pPr>
        <w:spacing w:after="40"/>
      </w:pPr>
      <w:r>
        <w:rPr>
          <w:b w:val="0"/>
          <w:color w:val="555555"/>
          <w:sz w:val="18"/>
        </w:rPr>
        <w:t>ANNEXE B — MÉTHODE</w:t>
      </w:r>
    </w:p>
    <w:p>
      <w:pPr>
        <w:pStyle w:val="Heading1"/>
      </w:pPr>
      <w:r>
        <w:t>B8. Signal de taux et poids des régimes</w:t>
      </w:r>
    </w:p>
    <w:p>
      <w:pPr>
        <w:pStyle w:val="Heading2"/>
      </w:pPr>
      <w:r>
        <w:t>Signal du taux US 10 ans</w:t>
      </w:r>
    </w:p>
    <w:p>
      <w:r>
        <w:rPr>
          <w:b w:val="0"/>
        </w:rPr>
        <w:t>La série vient de Cycle macro dans le classeur sectoriel. Elle est triée de la date la plus ancienne à la plus récente. Le lissage commence avec le premier taux disponible ; après une valeur lissée absente, il repart du taux courant.</w:t>
      </w:r>
    </w:p>
    <w:p>
      <w:pPr>
        <w:spacing w:after="140" w:line="240" w:lineRule="auto"/>
      </w:pPr>
      <w:r>
        <w:rPr>
          <w:rFonts w:ascii="Consolas" w:hAnsi="Consolas"/>
          <w:b w:val="0"/>
          <w:sz w:val="20"/>
        </w:rPr>
        <w:t>Lissage(t) = 0,715 × Lissage(t−1) + 0,285 × Taux(t)</w:t>
        <w:br/>
        <w:t>Écart(t) = Taux(t) − Lissage(t)</w:t>
        <w:br/>
        <w:t>Signal = On si percentile de l’écart &gt; 0,85 ; sinon Off</w:t>
      </w:r>
    </w:p>
    <w:p>
      <w:r>
        <w:rPr>
          <w:b w:val="0"/>
        </w:rPr>
        <w:t>Le percentile utilise tout l’historique des écarts jusqu’au mois courant, après retrait des valeurs absentes. PERCENTRANK.INC donne 0 au minimum et 1 au maximum, avec interpolation entre deux valeurs. En cas d’ex æquo, la première position est utilisée ; avec une seule valeur, le résultat est 1. Un taux absent ne donne pas de signal valide.</w:t>
      </w:r>
    </w:p>
    <w:p>
      <w:pPr>
        <w:pStyle w:val="Heading2"/>
      </w:pPr>
      <w:r>
        <w:t>Poids appliqués aux rangs des piliers</w:t>
      </w:r>
    </w:p>
    <w:p>
      <w:r>
        <w:rPr>
          <w:b w:val="0"/>
        </w:rPr>
        <w:t>L = Leverage, M = Margin, V = Value, Mo = Momentum, G = Growth, Vol = Volatility. Les poids ci-dessous sont ceux de local_config.py.</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1584"/>
        <w:gridCol w:w="1440"/>
        <w:gridCol w:w="1440"/>
        <w:gridCol w:w="1440"/>
        <w:gridCol w:w="1440"/>
        <w:gridCol w:w="1440"/>
        <w:gridCol w:w="1440"/>
      </w:tblGrid>
      <w:tr>
        <w:trPr>
          <w:cantSplit/>
          <w:tblHeader/>
        </w:trPr>
        <w:tc>
          <w:tcPr>
            <w:tcW w:type="dxa" w:w="1584"/>
            <w:vAlign w:val="center"/>
            <w:shd w:fill="E8E8E8"/>
          </w:tcPr>
          <w:p>
            <w:pPr>
              <w:spacing w:after="40" w:before="40" w:line="240" w:lineRule="auto"/>
            </w:pPr>
            <w:r>
              <w:rPr>
                <w:rFonts w:ascii="Calibri" w:hAnsi="Calibri"/>
                <w:b/>
                <w:sz w:val="20"/>
              </w:rPr>
              <w:t>EU</w:t>
            </w:r>
          </w:p>
        </w:tc>
        <w:tc>
          <w:tcPr>
            <w:tcW w:type="dxa" w:w="1440"/>
            <w:vAlign w:val="center"/>
            <w:shd w:fill="E8E8E8"/>
          </w:tcPr>
          <w:p>
            <w:pPr>
              <w:spacing w:after="40" w:before="40" w:line="240" w:lineRule="auto"/>
            </w:pPr>
            <w:r>
              <w:rPr>
                <w:rFonts w:ascii="Calibri" w:hAnsi="Calibri"/>
                <w:b/>
                <w:sz w:val="20"/>
              </w:rPr>
              <w:t>L</w:t>
            </w:r>
          </w:p>
        </w:tc>
        <w:tc>
          <w:tcPr>
            <w:tcW w:type="dxa" w:w="1440"/>
            <w:vAlign w:val="center"/>
            <w:shd w:fill="E8E8E8"/>
          </w:tcPr>
          <w:p>
            <w:pPr>
              <w:spacing w:after="40" w:before="40" w:line="240" w:lineRule="auto"/>
            </w:pPr>
            <w:r>
              <w:rPr>
                <w:rFonts w:ascii="Calibri" w:hAnsi="Calibri"/>
                <w:b/>
                <w:sz w:val="20"/>
              </w:rPr>
              <w:t>M</w:t>
            </w:r>
          </w:p>
        </w:tc>
        <w:tc>
          <w:tcPr>
            <w:tcW w:type="dxa" w:w="1440"/>
            <w:vAlign w:val="center"/>
            <w:shd w:fill="E8E8E8"/>
          </w:tcPr>
          <w:p>
            <w:pPr>
              <w:spacing w:after="40" w:before="40" w:line="240" w:lineRule="auto"/>
            </w:pPr>
            <w:r>
              <w:rPr>
                <w:rFonts w:ascii="Calibri" w:hAnsi="Calibri"/>
                <w:b/>
                <w:sz w:val="20"/>
              </w:rPr>
              <w:t>V</w:t>
            </w:r>
          </w:p>
        </w:tc>
        <w:tc>
          <w:tcPr>
            <w:tcW w:type="dxa" w:w="1440"/>
            <w:vAlign w:val="center"/>
            <w:shd w:fill="E8E8E8"/>
          </w:tcPr>
          <w:p>
            <w:pPr>
              <w:spacing w:after="40" w:before="40" w:line="240" w:lineRule="auto"/>
            </w:pPr>
            <w:r>
              <w:rPr>
                <w:rFonts w:ascii="Calibri" w:hAnsi="Calibri"/>
                <w:b/>
                <w:sz w:val="20"/>
              </w:rPr>
              <w:t>Mo</w:t>
            </w:r>
          </w:p>
        </w:tc>
        <w:tc>
          <w:tcPr>
            <w:tcW w:type="dxa" w:w="1440"/>
            <w:vAlign w:val="center"/>
            <w:shd w:fill="E8E8E8"/>
          </w:tcPr>
          <w:p>
            <w:pPr>
              <w:spacing w:after="40" w:before="40" w:line="240" w:lineRule="auto"/>
            </w:pPr>
            <w:r>
              <w:rPr>
                <w:rFonts w:ascii="Calibri" w:hAnsi="Calibri"/>
                <w:b/>
                <w:sz w:val="20"/>
              </w:rPr>
              <w:t>G</w:t>
            </w:r>
          </w:p>
        </w:tc>
        <w:tc>
          <w:tcPr>
            <w:tcW w:type="dxa" w:w="1440"/>
            <w:vAlign w:val="center"/>
            <w:shd w:fill="E8E8E8"/>
          </w:tcPr>
          <w:p>
            <w:pPr>
              <w:spacing w:after="40" w:before="40" w:line="240" w:lineRule="auto"/>
            </w:pPr>
            <w:r>
              <w:rPr>
                <w:rFonts w:ascii="Calibri" w:hAnsi="Calibri"/>
                <w:b/>
                <w:sz w:val="20"/>
              </w:rPr>
              <w:t>Vol</w:t>
            </w:r>
          </w:p>
        </w:tc>
      </w:tr>
      <w:tr>
        <w:trPr>
          <w:cantSplit/>
        </w:trPr>
        <w:tc>
          <w:tcPr>
            <w:tcW w:type="dxa" w:w="1584"/>
            <w:vAlign w:val="center"/>
          </w:tcPr>
          <w:p>
            <w:pPr>
              <w:spacing w:after="40" w:before="40" w:line="240" w:lineRule="auto"/>
            </w:pPr>
            <w:r>
              <w:rPr>
                <w:rFonts w:ascii="Calibri" w:hAnsi="Calibri"/>
                <w:b w:val="0"/>
                <w:sz w:val="20"/>
              </w:rPr>
              <w:t>Base</w:t>
            </w:r>
          </w:p>
        </w:tc>
        <w:tc>
          <w:tcPr>
            <w:tcW w:type="dxa" w:w="1440"/>
            <w:vAlign w:val="center"/>
          </w:tcPr>
          <w:p>
            <w:pPr>
              <w:spacing w:after="40" w:before="40" w:line="240" w:lineRule="auto"/>
            </w:pPr>
            <w:r>
              <w:rPr>
                <w:rFonts w:ascii="Calibri" w:hAnsi="Calibri"/>
                <w:b w:val="0"/>
                <w:sz w:val="20"/>
              </w:rPr>
              <w:t>1/6</w:t>
            </w:r>
          </w:p>
        </w:tc>
        <w:tc>
          <w:tcPr>
            <w:tcW w:type="dxa" w:w="1440"/>
            <w:vAlign w:val="center"/>
          </w:tcPr>
          <w:p>
            <w:pPr>
              <w:spacing w:after="40" w:before="40" w:line="240" w:lineRule="auto"/>
            </w:pPr>
            <w:r>
              <w:rPr>
                <w:rFonts w:ascii="Calibri" w:hAnsi="Calibri"/>
                <w:b w:val="0"/>
                <w:sz w:val="20"/>
              </w:rPr>
              <w:t>1/6</w:t>
            </w:r>
          </w:p>
        </w:tc>
        <w:tc>
          <w:tcPr>
            <w:tcW w:type="dxa" w:w="1440"/>
            <w:vAlign w:val="center"/>
          </w:tcPr>
          <w:p>
            <w:pPr>
              <w:spacing w:after="40" w:before="40" w:line="240" w:lineRule="auto"/>
            </w:pPr>
            <w:r>
              <w:rPr>
                <w:rFonts w:ascii="Calibri" w:hAnsi="Calibri"/>
                <w:b w:val="0"/>
                <w:sz w:val="20"/>
              </w:rPr>
              <w:t>1/6</w:t>
            </w:r>
          </w:p>
        </w:tc>
        <w:tc>
          <w:tcPr>
            <w:tcW w:type="dxa" w:w="1440"/>
            <w:vAlign w:val="center"/>
          </w:tcPr>
          <w:p>
            <w:pPr>
              <w:spacing w:after="40" w:before="40" w:line="240" w:lineRule="auto"/>
            </w:pPr>
            <w:r>
              <w:rPr>
                <w:rFonts w:ascii="Calibri" w:hAnsi="Calibri"/>
                <w:b w:val="0"/>
                <w:sz w:val="20"/>
              </w:rPr>
              <w:t>1/6</w:t>
            </w:r>
          </w:p>
        </w:tc>
        <w:tc>
          <w:tcPr>
            <w:tcW w:type="dxa" w:w="1440"/>
            <w:vAlign w:val="center"/>
          </w:tcPr>
          <w:p>
            <w:pPr>
              <w:spacing w:after="40" w:before="40" w:line="240" w:lineRule="auto"/>
            </w:pPr>
            <w:r>
              <w:rPr>
                <w:rFonts w:ascii="Calibri" w:hAnsi="Calibri"/>
                <w:b w:val="0"/>
                <w:sz w:val="20"/>
              </w:rPr>
              <w:t>1/6</w:t>
            </w:r>
          </w:p>
        </w:tc>
        <w:tc>
          <w:tcPr>
            <w:tcW w:type="dxa" w:w="1440"/>
            <w:vAlign w:val="center"/>
          </w:tcPr>
          <w:p>
            <w:pPr>
              <w:spacing w:after="40" w:before="40" w:line="240" w:lineRule="auto"/>
            </w:pPr>
            <w:r>
              <w:rPr>
                <w:rFonts w:ascii="Calibri" w:hAnsi="Calibri"/>
                <w:b w:val="0"/>
                <w:sz w:val="20"/>
              </w:rPr>
              <w:t>1/6</w:t>
            </w:r>
          </w:p>
        </w:tc>
      </w:tr>
      <w:tr>
        <w:trPr>
          <w:cantSplit/>
        </w:trPr>
        <w:tc>
          <w:tcPr>
            <w:tcW w:type="dxa" w:w="1584"/>
            <w:vAlign w:val="center"/>
            <w:shd w:fill="F7F7F7"/>
          </w:tcPr>
          <w:p>
            <w:pPr>
              <w:spacing w:after="40" w:before="40" w:line="240" w:lineRule="auto"/>
            </w:pPr>
            <w:r>
              <w:rPr>
                <w:rFonts w:ascii="Calibri" w:hAnsi="Calibri"/>
                <w:b w:val="0"/>
                <w:sz w:val="20"/>
              </w:rPr>
              <w:t>C</w:t>
            </w:r>
          </w:p>
        </w:tc>
        <w:tc>
          <w:tcPr>
            <w:tcW w:type="dxa" w:w="1440"/>
            <w:vAlign w:val="center"/>
            <w:shd w:fill="F7F7F7"/>
          </w:tcPr>
          <w:p>
            <w:pPr>
              <w:spacing w:after="40" w:before="40" w:line="240" w:lineRule="auto"/>
            </w:pPr>
            <w:r>
              <w:rPr>
                <w:rFonts w:ascii="Calibri" w:hAnsi="Calibri"/>
                <w:b w:val="0"/>
                <w:sz w:val="20"/>
              </w:rPr>
              <w:t>0,10</w:t>
            </w:r>
          </w:p>
        </w:tc>
        <w:tc>
          <w:tcPr>
            <w:tcW w:type="dxa" w:w="1440"/>
            <w:vAlign w:val="center"/>
            <w:shd w:fill="F7F7F7"/>
          </w:tcPr>
          <w:p>
            <w:pPr>
              <w:spacing w:after="40" w:before="40" w:line="240" w:lineRule="auto"/>
            </w:pPr>
            <w:r>
              <w:rPr>
                <w:rFonts w:ascii="Calibri" w:hAnsi="Calibri"/>
                <w:b w:val="0"/>
                <w:sz w:val="20"/>
              </w:rPr>
              <w:t>0</w:t>
            </w:r>
          </w:p>
        </w:tc>
        <w:tc>
          <w:tcPr>
            <w:tcW w:type="dxa" w:w="1440"/>
            <w:vAlign w:val="center"/>
            <w:shd w:fill="F7F7F7"/>
          </w:tcPr>
          <w:p>
            <w:pPr>
              <w:spacing w:after="40" w:before="40" w:line="240" w:lineRule="auto"/>
            </w:pPr>
            <w:r>
              <w:rPr>
                <w:rFonts w:ascii="Calibri" w:hAnsi="Calibri"/>
                <w:b w:val="0"/>
                <w:sz w:val="20"/>
              </w:rPr>
              <w:t>0</w:t>
            </w:r>
          </w:p>
        </w:tc>
        <w:tc>
          <w:tcPr>
            <w:tcW w:type="dxa" w:w="1440"/>
            <w:vAlign w:val="center"/>
            <w:shd w:fill="F7F7F7"/>
          </w:tcPr>
          <w:p>
            <w:pPr>
              <w:spacing w:after="40" w:before="40" w:line="240" w:lineRule="auto"/>
            </w:pPr>
            <w:r>
              <w:rPr>
                <w:rFonts w:ascii="Calibri" w:hAnsi="Calibri"/>
                <w:b w:val="0"/>
                <w:sz w:val="20"/>
              </w:rPr>
              <w:t>0,30</w:t>
            </w:r>
          </w:p>
        </w:tc>
        <w:tc>
          <w:tcPr>
            <w:tcW w:type="dxa" w:w="1440"/>
            <w:vAlign w:val="center"/>
            <w:shd w:fill="F7F7F7"/>
          </w:tcPr>
          <w:p>
            <w:pPr>
              <w:spacing w:after="40" w:before="40" w:line="240" w:lineRule="auto"/>
            </w:pPr>
            <w:r>
              <w:rPr>
                <w:rFonts w:ascii="Calibri" w:hAnsi="Calibri"/>
                <w:b w:val="0"/>
                <w:sz w:val="20"/>
              </w:rPr>
              <w:t>0,20</w:t>
            </w:r>
          </w:p>
        </w:tc>
        <w:tc>
          <w:tcPr>
            <w:tcW w:type="dxa" w:w="1440"/>
            <w:vAlign w:val="center"/>
            <w:shd w:fill="F7F7F7"/>
          </w:tcPr>
          <w:p>
            <w:pPr>
              <w:spacing w:after="40" w:before="40" w:line="240" w:lineRule="auto"/>
            </w:pPr>
            <w:r>
              <w:rPr>
                <w:rFonts w:ascii="Calibri" w:hAnsi="Calibri"/>
                <w:b w:val="0"/>
                <w:sz w:val="20"/>
              </w:rPr>
              <w:t>0,40</w:t>
            </w:r>
          </w:p>
        </w:tc>
      </w:tr>
      <w:tr>
        <w:trPr>
          <w:cantSplit/>
        </w:trPr>
        <w:tc>
          <w:tcPr>
            <w:tcW w:type="dxa" w:w="1584"/>
            <w:vAlign w:val="center"/>
          </w:tcPr>
          <w:p>
            <w:pPr>
              <w:spacing w:after="40" w:before="40" w:line="240" w:lineRule="auto"/>
            </w:pPr>
            <w:r>
              <w:rPr>
                <w:rFonts w:ascii="Calibri" w:hAnsi="Calibri"/>
                <w:b w:val="0"/>
                <w:sz w:val="20"/>
              </w:rPr>
              <w:t>R</w:t>
            </w:r>
          </w:p>
        </w:tc>
        <w:tc>
          <w:tcPr>
            <w:tcW w:type="dxa" w:w="1440"/>
            <w:vAlign w:val="center"/>
          </w:tcPr>
          <w:p>
            <w:pPr>
              <w:spacing w:after="40" w:before="40" w:line="240" w:lineRule="auto"/>
            </w:pPr>
            <w:r>
              <w:rPr>
                <w:rFonts w:ascii="Calibri" w:hAnsi="Calibri"/>
                <w:b w:val="0"/>
                <w:sz w:val="20"/>
              </w:rPr>
              <w:t>0,10</w:t>
            </w:r>
          </w:p>
        </w:tc>
        <w:tc>
          <w:tcPr>
            <w:tcW w:type="dxa" w:w="1440"/>
            <w:vAlign w:val="center"/>
          </w:tcPr>
          <w:p>
            <w:pPr>
              <w:spacing w:after="40" w:before="40" w:line="240" w:lineRule="auto"/>
            </w:pPr>
            <w:r>
              <w:rPr>
                <w:rFonts w:ascii="Calibri" w:hAnsi="Calibri"/>
                <w:b w:val="0"/>
                <w:sz w:val="20"/>
              </w:rPr>
              <w:t>0,10</w:t>
            </w:r>
          </w:p>
        </w:tc>
        <w:tc>
          <w:tcPr>
            <w:tcW w:type="dxa" w:w="1440"/>
            <w:vAlign w:val="center"/>
          </w:tcPr>
          <w:p>
            <w:pPr>
              <w:spacing w:after="40" w:before="40" w:line="240" w:lineRule="auto"/>
            </w:pPr>
            <w:r>
              <w:rPr>
                <w:rFonts w:ascii="Calibri" w:hAnsi="Calibri"/>
                <w:b w:val="0"/>
                <w:sz w:val="20"/>
              </w:rPr>
              <w:t>0,10</w:t>
            </w:r>
          </w:p>
        </w:tc>
        <w:tc>
          <w:tcPr>
            <w:tcW w:type="dxa" w:w="1440"/>
            <w:vAlign w:val="center"/>
          </w:tcPr>
          <w:p>
            <w:pPr>
              <w:spacing w:after="40" w:before="40" w:line="240" w:lineRule="auto"/>
            </w:pPr>
            <w:r>
              <w:rPr>
                <w:rFonts w:ascii="Calibri" w:hAnsi="Calibri"/>
                <w:b w:val="0"/>
                <w:sz w:val="20"/>
              </w:rPr>
              <w:t>0,35</w:t>
            </w:r>
          </w:p>
        </w:tc>
        <w:tc>
          <w:tcPr>
            <w:tcW w:type="dxa" w:w="1440"/>
            <w:vAlign w:val="center"/>
          </w:tcPr>
          <w:p>
            <w:pPr>
              <w:spacing w:after="40" w:before="40" w:line="240" w:lineRule="auto"/>
            </w:pPr>
            <w:r>
              <w:rPr>
                <w:rFonts w:ascii="Calibri" w:hAnsi="Calibri"/>
                <w:b w:val="0"/>
                <w:sz w:val="20"/>
              </w:rPr>
              <w:t>0,35</w:t>
            </w:r>
          </w:p>
        </w:tc>
        <w:tc>
          <w:tcPr>
            <w:tcW w:type="dxa" w:w="1440"/>
            <w:vAlign w:val="center"/>
          </w:tcPr>
          <w:p>
            <w:pPr>
              <w:spacing w:after="40" w:before="40" w:line="240" w:lineRule="auto"/>
            </w:pPr>
            <w:r>
              <w:rPr>
                <w:rFonts w:ascii="Calibri" w:hAnsi="Calibri"/>
                <w:b w:val="0"/>
                <w:sz w:val="20"/>
              </w:rPr>
              <w:t>0</w:t>
            </w:r>
          </w:p>
        </w:tc>
      </w:tr>
      <w:tr>
        <w:trPr>
          <w:cantSplit/>
        </w:trPr>
        <w:tc>
          <w:tcPr>
            <w:tcW w:type="dxa" w:w="1584"/>
            <w:vAlign w:val="center"/>
            <w:shd w:fill="F7F7F7"/>
          </w:tcPr>
          <w:p>
            <w:pPr>
              <w:spacing w:after="40" w:before="40" w:line="240" w:lineRule="auto"/>
            </w:pPr>
            <w:r>
              <w:rPr>
                <w:rFonts w:ascii="Calibri" w:hAnsi="Calibri"/>
                <w:b w:val="0"/>
                <w:sz w:val="20"/>
              </w:rPr>
              <w:t>E</w:t>
            </w:r>
          </w:p>
        </w:tc>
        <w:tc>
          <w:tcPr>
            <w:tcW w:type="dxa" w:w="1440"/>
            <w:vAlign w:val="center"/>
            <w:shd w:fill="F7F7F7"/>
          </w:tcPr>
          <w:p>
            <w:pPr>
              <w:spacing w:after="40" w:before="40" w:line="240" w:lineRule="auto"/>
            </w:pPr>
            <w:r>
              <w:rPr>
                <w:rFonts w:ascii="Calibri" w:hAnsi="Calibri"/>
                <w:b w:val="0"/>
                <w:sz w:val="20"/>
              </w:rPr>
              <w:t>1/6</w:t>
            </w:r>
          </w:p>
        </w:tc>
        <w:tc>
          <w:tcPr>
            <w:tcW w:type="dxa" w:w="1440"/>
            <w:vAlign w:val="center"/>
            <w:shd w:fill="F7F7F7"/>
          </w:tcPr>
          <w:p>
            <w:pPr>
              <w:spacing w:after="40" w:before="40" w:line="240" w:lineRule="auto"/>
            </w:pPr>
            <w:r>
              <w:rPr>
                <w:rFonts w:ascii="Calibri" w:hAnsi="Calibri"/>
                <w:b w:val="0"/>
                <w:sz w:val="20"/>
              </w:rPr>
              <w:t>1/6</w:t>
            </w:r>
          </w:p>
        </w:tc>
        <w:tc>
          <w:tcPr>
            <w:tcW w:type="dxa" w:w="1440"/>
            <w:vAlign w:val="center"/>
            <w:shd w:fill="F7F7F7"/>
          </w:tcPr>
          <w:p>
            <w:pPr>
              <w:spacing w:after="40" w:before="40" w:line="240" w:lineRule="auto"/>
            </w:pPr>
            <w:r>
              <w:rPr>
                <w:rFonts w:ascii="Calibri" w:hAnsi="Calibri"/>
                <w:b w:val="0"/>
                <w:sz w:val="20"/>
              </w:rPr>
              <w:t>1/6</w:t>
            </w:r>
          </w:p>
        </w:tc>
        <w:tc>
          <w:tcPr>
            <w:tcW w:type="dxa" w:w="1440"/>
            <w:vAlign w:val="center"/>
            <w:shd w:fill="F7F7F7"/>
          </w:tcPr>
          <w:p>
            <w:pPr>
              <w:spacing w:after="40" w:before="40" w:line="240" w:lineRule="auto"/>
            </w:pPr>
            <w:r>
              <w:rPr>
                <w:rFonts w:ascii="Calibri" w:hAnsi="Calibri"/>
                <w:b w:val="0"/>
                <w:sz w:val="20"/>
              </w:rPr>
              <w:t>1/6</w:t>
            </w:r>
          </w:p>
        </w:tc>
        <w:tc>
          <w:tcPr>
            <w:tcW w:type="dxa" w:w="1440"/>
            <w:vAlign w:val="center"/>
            <w:shd w:fill="F7F7F7"/>
          </w:tcPr>
          <w:p>
            <w:pPr>
              <w:spacing w:after="40" w:before="40" w:line="240" w:lineRule="auto"/>
            </w:pPr>
            <w:r>
              <w:rPr>
                <w:rFonts w:ascii="Calibri" w:hAnsi="Calibri"/>
                <w:b w:val="0"/>
                <w:sz w:val="20"/>
              </w:rPr>
              <w:t>1/6</w:t>
            </w:r>
          </w:p>
        </w:tc>
        <w:tc>
          <w:tcPr>
            <w:tcW w:type="dxa" w:w="1440"/>
            <w:vAlign w:val="center"/>
            <w:shd w:fill="F7F7F7"/>
          </w:tcPr>
          <w:p>
            <w:pPr>
              <w:spacing w:after="40" w:before="40" w:line="240" w:lineRule="auto"/>
            </w:pPr>
            <w:r>
              <w:rPr>
                <w:rFonts w:ascii="Calibri" w:hAnsi="Calibri"/>
                <w:b w:val="0"/>
                <w:sz w:val="20"/>
              </w:rPr>
              <w:t>1/6</w:t>
            </w:r>
          </w:p>
        </w:tc>
      </w:tr>
      <w:tr>
        <w:trPr>
          <w:cantSplit/>
        </w:trPr>
        <w:tc>
          <w:tcPr>
            <w:tcW w:type="dxa" w:w="1584"/>
            <w:vAlign w:val="center"/>
          </w:tcPr>
          <w:p>
            <w:pPr>
              <w:spacing w:after="40" w:before="40" w:line="240" w:lineRule="auto"/>
            </w:pPr>
            <w:r>
              <w:rPr>
                <w:rFonts w:ascii="Calibri" w:hAnsi="Calibri"/>
                <w:b w:val="0"/>
                <w:sz w:val="20"/>
              </w:rPr>
              <w:t>SD</w:t>
            </w:r>
          </w:p>
        </w:tc>
        <w:tc>
          <w:tcPr>
            <w:tcW w:type="dxa" w:w="1440"/>
            <w:vAlign w:val="center"/>
          </w:tcPr>
          <w:p>
            <w:pPr>
              <w:spacing w:after="40" w:before="40" w:line="240" w:lineRule="auto"/>
            </w:pPr>
            <w:r>
              <w:rPr>
                <w:rFonts w:ascii="Calibri" w:hAnsi="Calibri"/>
                <w:b w:val="0"/>
                <w:sz w:val="20"/>
              </w:rPr>
              <w:t>0</w:t>
            </w:r>
          </w:p>
        </w:tc>
        <w:tc>
          <w:tcPr>
            <w:tcW w:type="dxa" w:w="1440"/>
            <w:vAlign w:val="center"/>
          </w:tcPr>
          <w:p>
            <w:pPr>
              <w:spacing w:after="40" w:before="40" w:line="240" w:lineRule="auto"/>
            </w:pPr>
            <w:r>
              <w:rPr>
                <w:rFonts w:ascii="Calibri" w:hAnsi="Calibri"/>
                <w:b w:val="0"/>
                <w:sz w:val="20"/>
              </w:rPr>
              <w:t>0</w:t>
            </w:r>
          </w:p>
        </w:tc>
        <w:tc>
          <w:tcPr>
            <w:tcW w:type="dxa" w:w="1440"/>
            <w:vAlign w:val="center"/>
          </w:tcPr>
          <w:p>
            <w:pPr>
              <w:spacing w:after="40" w:before="40" w:line="240" w:lineRule="auto"/>
            </w:pPr>
            <w:r>
              <w:rPr>
                <w:rFonts w:ascii="Calibri" w:hAnsi="Calibri"/>
                <w:b w:val="0"/>
                <w:sz w:val="20"/>
              </w:rPr>
              <w:t>0,30</w:t>
            </w:r>
          </w:p>
        </w:tc>
        <w:tc>
          <w:tcPr>
            <w:tcW w:type="dxa" w:w="1440"/>
            <w:vAlign w:val="center"/>
          </w:tcPr>
          <w:p>
            <w:pPr>
              <w:spacing w:after="40" w:before="40" w:line="240" w:lineRule="auto"/>
            </w:pPr>
            <w:r>
              <w:rPr>
                <w:rFonts w:ascii="Calibri" w:hAnsi="Calibri"/>
                <w:b w:val="0"/>
                <w:sz w:val="20"/>
              </w:rPr>
              <w:t>0,10</w:t>
            </w:r>
          </w:p>
        </w:tc>
        <w:tc>
          <w:tcPr>
            <w:tcW w:type="dxa" w:w="1440"/>
            <w:vAlign w:val="center"/>
          </w:tcPr>
          <w:p>
            <w:pPr>
              <w:spacing w:after="40" w:before="40" w:line="240" w:lineRule="auto"/>
            </w:pPr>
            <w:r>
              <w:rPr>
                <w:rFonts w:ascii="Calibri" w:hAnsi="Calibri"/>
                <w:b w:val="0"/>
                <w:sz w:val="20"/>
              </w:rPr>
              <w:t>0,30</w:t>
            </w:r>
          </w:p>
        </w:tc>
        <w:tc>
          <w:tcPr>
            <w:tcW w:type="dxa" w:w="1440"/>
            <w:vAlign w:val="center"/>
          </w:tcPr>
          <w:p>
            <w:pPr>
              <w:spacing w:after="40" w:before="40" w:line="240" w:lineRule="auto"/>
            </w:pPr>
            <w:r>
              <w:rPr>
                <w:rFonts w:ascii="Calibri" w:hAnsi="Calibri"/>
                <w:b w:val="0"/>
                <w:sz w:val="20"/>
              </w:rPr>
              <w:t>0,30</w:t>
            </w:r>
          </w:p>
        </w:tc>
      </w:tr>
    </w:tbl>
    <w:p>
      <w:pPr>
        <w:spacing w:after="0"/>
      </w:pPr>
      <w:r>
        <w:rPr>
          <w:b w:val="0"/>
        </w:rPr>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1584"/>
        <w:gridCol w:w="1440"/>
        <w:gridCol w:w="1440"/>
        <w:gridCol w:w="1440"/>
        <w:gridCol w:w="1440"/>
        <w:gridCol w:w="1440"/>
        <w:gridCol w:w="1440"/>
      </w:tblGrid>
      <w:tr>
        <w:trPr>
          <w:cantSplit/>
          <w:tblHeader/>
        </w:trPr>
        <w:tc>
          <w:tcPr>
            <w:tcW w:type="dxa" w:w="1584"/>
            <w:vAlign w:val="center"/>
            <w:shd w:fill="E8E8E8"/>
          </w:tcPr>
          <w:p>
            <w:pPr>
              <w:spacing w:after="40" w:before="40" w:line="240" w:lineRule="auto"/>
            </w:pPr>
            <w:r>
              <w:rPr>
                <w:rFonts w:ascii="Calibri" w:hAnsi="Calibri"/>
                <w:b/>
                <w:sz w:val="20"/>
              </w:rPr>
              <w:t>US</w:t>
            </w:r>
          </w:p>
        </w:tc>
        <w:tc>
          <w:tcPr>
            <w:tcW w:type="dxa" w:w="1440"/>
            <w:vAlign w:val="center"/>
            <w:shd w:fill="E8E8E8"/>
          </w:tcPr>
          <w:p>
            <w:pPr>
              <w:spacing w:after="40" w:before="40" w:line="240" w:lineRule="auto"/>
            </w:pPr>
            <w:r>
              <w:rPr>
                <w:rFonts w:ascii="Calibri" w:hAnsi="Calibri"/>
                <w:b/>
                <w:sz w:val="20"/>
              </w:rPr>
              <w:t>L</w:t>
            </w:r>
          </w:p>
        </w:tc>
        <w:tc>
          <w:tcPr>
            <w:tcW w:type="dxa" w:w="1440"/>
            <w:vAlign w:val="center"/>
            <w:shd w:fill="E8E8E8"/>
          </w:tcPr>
          <w:p>
            <w:pPr>
              <w:spacing w:after="40" w:before="40" w:line="240" w:lineRule="auto"/>
            </w:pPr>
            <w:r>
              <w:rPr>
                <w:rFonts w:ascii="Calibri" w:hAnsi="Calibri"/>
                <w:b/>
                <w:sz w:val="20"/>
              </w:rPr>
              <w:t>M</w:t>
            </w:r>
          </w:p>
        </w:tc>
        <w:tc>
          <w:tcPr>
            <w:tcW w:type="dxa" w:w="1440"/>
            <w:vAlign w:val="center"/>
            <w:shd w:fill="E8E8E8"/>
          </w:tcPr>
          <w:p>
            <w:pPr>
              <w:spacing w:after="40" w:before="40" w:line="240" w:lineRule="auto"/>
            </w:pPr>
            <w:r>
              <w:rPr>
                <w:rFonts w:ascii="Calibri" w:hAnsi="Calibri"/>
                <w:b/>
                <w:sz w:val="20"/>
              </w:rPr>
              <w:t>V</w:t>
            </w:r>
          </w:p>
        </w:tc>
        <w:tc>
          <w:tcPr>
            <w:tcW w:type="dxa" w:w="1440"/>
            <w:vAlign w:val="center"/>
            <w:shd w:fill="E8E8E8"/>
          </w:tcPr>
          <w:p>
            <w:pPr>
              <w:spacing w:after="40" w:before="40" w:line="240" w:lineRule="auto"/>
            </w:pPr>
            <w:r>
              <w:rPr>
                <w:rFonts w:ascii="Calibri" w:hAnsi="Calibri"/>
                <w:b/>
                <w:sz w:val="20"/>
              </w:rPr>
              <w:t>Mo</w:t>
            </w:r>
          </w:p>
        </w:tc>
        <w:tc>
          <w:tcPr>
            <w:tcW w:type="dxa" w:w="1440"/>
            <w:vAlign w:val="center"/>
            <w:shd w:fill="E8E8E8"/>
          </w:tcPr>
          <w:p>
            <w:pPr>
              <w:spacing w:after="40" w:before="40" w:line="240" w:lineRule="auto"/>
            </w:pPr>
            <w:r>
              <w:rPr>
                <w:rFonts w:ascii="Calibri" w:hAnsi="Calibri"/>
                <w:b/>
                <w:sz w:val="20"/>
              </w:rPr>
              <w:t>G</w:t>
            </w:r>
          </w:p>
        </w:tc>
        <w:tc>
          <w:tcPr>
            <w:tcW w:type="dxa" w:w="1440"/>
            <w:vAlign w:val="center"/>
            <w:shd w:fill="E8E8E8"/>
          </w:tcPr>
          <w:p>
            <w:pPr>
              <w:spacing w:after="40" w:before="40" w:line="240" w:lineRule="auto"/>
            </w:pPr>
            <w:r>
              <w:rPr>
                <w:rFonts w:ascii="Calibri" w:hAnsi="Calibri"/>
                <w:b/>
                <w:sz w:val="20"/>
              </w:rPr>
              <w:t>Vol</w:t>
            </w:r>
          </w:p>
        </w:tc>
      </w:tr>
      <w:tr>
        <w:trPr>
          <w:cantSplit/>
        </w:trPr>
        <w:tc>
          <w:tcPr>
            <w:tcW w:type="dxa" w:w="1584"/>
            <w:vAlign w:val="center"/>
          </w:tcPr>
          <w:p>
            <w:pPr>
              <w:spacing w:after="40" w:before="40" w:line="240" w:lineRule="auto"/>
            </w:pPr>
            <w:r>
              <w:rPr>
                <w:rFonts w:ascii="Calibri" w:hAnsi="Calibri"/>
                <w:b w:val="0"/>
                <w:sz w:val="20"/>
              </w:rPr>
              <w:t>Base</w:t>
            </w:r>
          </w:p>
        </w:tc>
        <w:tc>
          <w:tcPr>
            <w:tcW w:type="dxa" w:w="1440"/>
            <w:vAlign w:val="center"/>
          </w:tcPr>
          <w:p>
            <w:pPr>
              <w:spacing w:after="40" w:before="40" w:line="240" w:lineRule="auto"/>
            </w:pPr>
            <w:r>
              <w:rPr>
                <w:rFonts w:ascii="Calibri" w:hAnsi="Calibri"/>
                <w:b w:val="0"/>
                <w:sz w:val="20"/>
              </w:rPr>
              <w:t>0,20</w:t>
            </w:r>
          </w:p>
        </w:tc>
        <w:tc>
          <w:tcPr>
            <w:tcW w:type="dxa" w:w="1440"/>
            <w:vAlign w:val="center"/>
          </w:tcPr>
          <w:p>
            <w:pPr>
              <w:spacing w:after="40" w:before="40" w:line="240" w:lineRule="auto"/>
            </w:pPr>
            <w:r>
              <w:rPr>
                <w:rFonts w:ascii="Calibri" w:hAnsi="Calibri"/>
                <w:b w:val="0"/>
                <w:sz w:val="20"/>
              </w:rPr>
              <w:t>0</w:t>
            </w:r>
          </w:p>
        </w:tc>
        <w:tc>
          <w:tcPr>
            <w:tcW w:type="dxa" w:w="1440"/>
            <w:vAlign w:val="center"/>
          </w:tcPr>
          <w:p>
            <w:pPr>
              <w:spacing w:after="40" w:before="40" w:line="240" w:lineRule="auto"/>
            </w:pPr>
            <w:r>
              <w:rPr>
                <w:rFonts w:ascii="Calibri" w:hAnsi="Calibri"/>
                <w:b w:val="0"/>
                <w:sz w:val="20"/>
              </w:rPr>
              <w:t>0,20</w:t>
            </w:r>
          </w:p>
        </w:tc>
        <w:tc>
          <w:tcPr>
            <w:tcW w:type="dxa" w:w="1440"/>
            <w:vAlign w:val="center"/>
          </w:tcPr>
          <w:p>
            <w:pPr>
              <w:spacing w:after="40" w:before="40" w:line="240" w:lineRule="auto"/>
            </w:pPr>
            <w:r>
              <w:rPr>
                <w:rFonts w:ascii="Calibri" w:hAnsi="Calibri"/>
                <w:b w:val="0"/>
                <w:sz w:val="20"/>
              </w:rPr>
              <w:t>0,20</w:t>
            </w:r>
          </w:p>
        </w:tc>
        <w:tc>
          <w:tcPr>
            <w:tcW w:type="dxa" w:w="1440"/>
            <w:vAlign w:val="center"/>
          </w:tcPr>
          <w:p>
            <w:pPr>
              <w:spacing w:after="40" w:before="40" w:line="240" w:lineRule="auto"/>
            </w:pPr>
            <w:r>
              <w:rPr>
                <w:rFonts w:ascii="Calibri" w:hAnsi="Calibri"/>
                <w:b w:val="0"/>
                <w:sz w:val="20"/>
              </w:rPr>
              <w:t>0,20</w:t>
            </w:r>
          </w:p>
        </w:tc>
        <w:tc>
          <w:tcPr>
            <w:tcW w:type="dxa" w:w="1440"/>
            <w:vAlign w:val="center"/>
          </w:tcPr>
          <w:p>
            <w:pPr>
              <w:spacing w:after="40" w:before="40" w:line="240" w:lineRule="auto"/>
            </w:pPr>
            <w:r>
              <w:rPr>
                <w:rFonts w:ascii="Calibri" w:hAnsi="Calibri"/>
                <w:b w:val="0"/>
                <w:sz w:val="20"/>
              </w:rPr>
              <w:t>0,20</w:t>
            </w:r>
          </w:p>
        </w:tc>
      </w:tr>
      <w:tr>
        <w:trPr>
          <w:cantSplit/>
        </w:trPr>
        <w:tc>
          <w:tcPr>
            <w:tcW w:type="dxa" w:w="1584"/>
            <w:vAlign w:val="center"/>
            <w:shd w:fill="F7F7F7"/>
          </w:tcPr>
          <w:p>
            <w:pPr>
              <w:spacing w:after="40" w:before="40" w:line="240" w:lineRule="auto"/>
            </w:pPr>
            <w:r>
              <w:rPr>
                <w:rFonts w:ascii="Calibri" w:hAnsi="Calibri"/>
                <w:b w:val="0"/>
                <w:sz w:val="20"/>
              </w:rPr>
              <w:t>C</w:t>
            </w:r>
          </w:p>
        </w:tc>
        <w:tc>
          <w:tcPr>
            <w:tcW w:type="dxa" w:w="1440"/>
            <w:vAlign w:val="center"/>
            <w:shd w:fill="F7F7F7"/>
          </w:tcPr>
          <w:p>
            <w:pPr>
              <w:spacing w:after="40" w:before="40" w:line="240" w:lineRule="auto"/>
            </w:pPr>
            <w:r>
              <w:rPr>
                <w:rFonts w:ascii="Calibri" w:hAnsi="Calibri"/>
                <w:b w:val="0"/>
                <w:sz w:val="20"/>
              </w:rPr>
              <w:t>0,20</w:t>
            </w:r>
          </w:p>
        </w:tc>
        <w:tc>
          <w:tcPr>
            <w:tcW w:type="dxa" w:w="1440"/>
            <w:vAlign w:val="center"/>
            <w:shd w:fill="F7F7F7"/>
          </w:tcPr>
          <w:p>
            <w:pPr>
              <w:spacing w:after="40" w:before="40" w:line="240" w:lineRule="auto"/>
            </w:pPr>
            <w:r>
              <w:rPr>
                <w:rFonts w:ascii="Calibri" w:hAnsi="Calibri"/>
                <w:b w:val="0"/>
                <w:sz w:val="20"/>
              </w:rPr>
              <w:t>0</w:t>
            </w:r>
          </w:p>
        </w:tc>
        <w:tc>
          <w:tcPr>
            <w:tcW w:type="dxa" w:w="1440"/>
            <w:vAlign w:val="center"/>
            <w:shd w:fill="F7F7F7"/>
          </w:tcPr>
          <w:p>
            <w:pPr>
              <w:spacing w:after="40" w:before="40" w:line="240" w:lineRule="auto"/>
            </w:pPr>
            <w:r>
              <w:rPr>
                <w:rFonts w:ascii="Calibri" w:hAnsi="Calibri"/>
                <w:b w:val="0"/>
                <w:sz w:val="20"/>
              </w:rPr>
              <w:t>0,20</w:t>
            </w:r>
          </w:p>
        </w:tc>
        <w:tc>
          <w:tcPr>
            <w:tcW w:type="dxa" w:w="1440"/>
            <w:vAlign w:val="center"/>
            <w:shd w:fill="F7F7F7"/>
          </w:tcPr>
          <w:p>
            <w:pPr>
              <w:spacing w:after="40" w:before="40" w:line="240" w:lineRule="auto"/>
            </w:pPr>
            <w:r>
              <w:rPr>
                <w:rFonts w:ascii="Calibri" w:hAnsi="Calibri"/>
                <w:b w:val="0"/>
                <w:sz w:val="20"/>
              </w:rPr>
              <w:t>0</w:t>
            </w:r>
          </w:p>
        </w:tc>
        <w:tc>
          <w:tcPr>
            <w:tcW w:type="dxa" w:w="1440"/>
            <w:vAlign w:val="center"/>
            <w:shd w:fill="F7F7F7"/>
          </w:tcPr>
          <w:p>
            <w:pPr>
              <w:spacing w:after="40" w:before="40" w:line="240" w:lineRule="auto"/>
            </w:pPr>
            <w:r>
              <w:rPr>
                <w:rFonts w:ascii="Calibri" w:hAnsi="Calibri"/>
                <w:b w:val="0"/>
                <w:sz w:val="20"/>
              </w:rPr>
              <w:t>0,20</w:t>
            </w:r>
          </w:p>
        </w:tc>
        <w:tc>
          <w:tcPr>
            <w:tcW w:type="dxa" w:w="1440"/>
            <w:vAlign w:val="center"/>
            <w:shd w:fill="F7F7F7"/>
          </w:tcPr>
          <w:p>
            <w:pPr>
              <w:spacing w:after="40" w:before="40" w:line="240" w:lineRule="auto"/>
            </w:pPr>
            <w:r>
              <w:rPr>
                <w:rFonts w:ascii="Calibri" w:hAnsi="Calibri"/>
                <w:b w:val="0"/>
                <w:sz w:val="20"/>
              </w:rPr>
              <w:t>0,40</w:t>
            </w:r>
          </w:p>
        </w:tc>
      </w:tr>
      <w:tr>
        <w:trPr>
          <w:cantSplit/>
        </w:trPr>
        <w:tc>
          <w:tcPr>
            <w:tcW w:type="dxa" w:w="1584"/>
            <w:vAlign w:val="center"/>
          </w:tcPr>
          <w:p>
            <w:pPr>
              <w:spacing w:after="40" w:before="40" w:line="240" w:lineRule="auto"/>
            </w:pPr>
            <w:r>
              <w:rPr>
                <w:rFonts w:ascii="Calibri" w:hAnsi="Calibri"/>
                <w:b w:val="0"/>
                <w:sz w:val="20"/>
              </w:rPr>
              <w:t>R</w:t>
            </w:r>
          </w:p>
        </w:tc>
        <w:tc>
          <w:tcPr>
            <w:tcW w:type="dxa" w:w="1440"/>
            <w:vAlign w:val="center"/>
          </w:tcPr>
          <w:p>
            <w:pPr>
              <w:spacing w:after="40" w:before="40" w:line="240" w:lineRule="auto"/>
            </w:pPr>
            <w:r>
              <w:rPr>
                <w:rFonts w:ascii="Calibri" w:hAnsi="Calibri"/>
                <w:b w:val="0"/>
                <w:sz w:val="20"/>
              </w:rPr>
              <w:t>0</w:t>
            </w:r>
          </w:p>
        </w:tc>
        <w:tc>
          <w:tcPr>
            <w:tcW w:type="dxa" w:w="1440"/>
            <w:vAlign w:val="center"/>
          </w:tcPr>
          <w:p>
            <w:pPr>
              <w:spacing w:after="40" w:before="40" w:line="240" w:lineRule="auto"/>
            </w:pPr>
            <w:r>
              <w:rPr>
                <w:rFonts w:ascii="Calibri" w:hAnsi="Calibri"/>
                <w:b w:val="0"/>
                <w:sz w:val="20"/>
              </w:rPr>
              <w:t>0</w:t>
            </w:r>
          </w:p>
        </w:tc>
        <w:tc>
          <w:tcPr>
            <w:tcW w:type="dxa" w:w="1440"/>
            <w:vAlign w:val="center"/>
          </w:tcPr>
          <w:p>
            <w:pPr>
              <w:spacing w:after="40" w:before="40" w:line="240" w:lineRule="auto"/>
            </w:pPr>
            <w:r>
              <w:rPr>
                <w:rFonts w:ascii="Calibri" w:hAnsi="Calibri"/>
                <w:b w:val="0"/>
                <w:sz w:val="20"/>
              </w:rPr>
              <w:t>0</w:t>
            </w:r>
          </w:p>
        </w:tc>
        <w:tc>
          <w:tcPr>
            <w:tcW w:type="dxa" w:w="1440"/>
            <w:vAlign w:val="center"/>
          </w:tcPr>
          <w:p>
            <w:pPr>
              <w:spacing w:after="40" w:before="40" w:line="240" w:lineRule="auto"/>
            </w:pPr>
            <w:r>
              <w:rPr>
                <w:rFonts w:ascii="Calibri" w:hAnsi="Calibri"/>
                <w:b w:val="0"/>
                <w:sz w:val="20"/>
              </w:rPr>
              <w:t>0,50</w:t>
            </w:r>
          </w:p>
        </w:tc>
        <w:tc>
          <w:tcPr>
            <w:tcW w:type="dxa" w:w="1440"/>
            <w:vAlign w:val="center"/>
          </w:tcPr>
          <w:p>
            <w:pPr>
              <w:spacing w:after="40" w:before="40" w:line="240" w:lineRule="auto"/>
            </w:pPr>
            <w:r>
              <w:rPr>
                <w:rFonts w:ascii="Calibri" w:hAnsi="Calibri"/>
                <w:b w:val="0"/>
                <w:sz w:val="20"/>
              </w:rPr>
              <w:t>0,50</w:t>
            </w:r>
          </w:p>
        </w:tc>
        <w:tc>
          <w:tcPr>
            <w:tcW w:type="dxa" w:w="1440"/>
            <w:vAlign w:val="center"/>
          </w:tcPr>
          <w:p>
            <w:pPr>
              <w:spacing w:after="40" w:before="40" w:line="240" w:lineRule="auto"/>
            </w:pPr>
            <w:r>
              <w:rPr>
                <w:rFonts w:ascii="Calibri" w:hAnsi="Calibri"/>
                <w:b w:val="0"/>
                <w:sz w:val="20"/>
              </w:rPr>
              <w:t>0</w:t>
            </w:r>
          </w:p>
        </w:tc>
      </w:tr>
      <w:tr>
        <w:trPr>
          <w:cantSplit/>
        </w:trPr>
        <w:tc>
          <w:tcPr>
            <w:tcW w:type="dxa" w:w="1584"/>
            <w:vAlign w:val="center"/>
            <w:shd w:fill="F7F7F7"/>
          </w:tcPr>
          <w:p>
            <w:pPr>
              <w:spacing w:after="40" w:before="40" w:line="240" w:lineRule="auto"/>
            </w:pPr>
            <w:r>
              <w:rPr>
                <w:rFonts w:ascii="Calibri" w:hAnsi="Calibri"/>
                <w:b w:val="0"/>
                <w:sz w:val="20"/>
              </w:rPr>
              <w:t>E</w:t>
            </w:r>
          </w:p>
        </w:tc>
        <w:tc>
          <w:tcPr>
            <w:tcW w:type="dxa" w:w="1440"/>
            <w:vAlign w:val="center"/>
            <w:shd w:fill="F7F7F7"/>
          </w:tcPr>
          <w:p>
            <w:pPr>
              <w:spacing w:after="40" w:before="40" w:line="240" w:lineRule="auto"/>
            </w:pPr>
            <w:r>
              <w:rPr>
                <w:rFonts w:ascii="Calibri" w:hAnsi="Calibri"/>
                <w:b w:val="0"/>
                <w:sz w:val="20"/>
              </w:rPr>
              <w:t>0,20</w:t>
            </w:r>
          </w:p>
        </w:tc>
        <w:tc>
          <w:tcPr>
            <w:tcW w:type="dxa" w:w="1440"/>
            <w:vAlign w:val="center"/>
            <w:shd w:fill="F7F7F7"/>
          </w:tcPr>
          <w:p>
            <w:pPr>
              <w:spacing w:after="40" w:before="40" w:line="240" w:lineRule="auto"/>
            </w:pPr>
            <w:r>
              <w:rPr>
                <w:rFonts w:ascii="Calibri" w:hAnsi="Calibri"/>
                <w:b w:val="0"/>
                <w:sz w:val="20"/>
              </w:rPr>
              <w:t>0</w:t>
            </w:r>
          </w:p>
        </w:tc>
        <w:tc>
          <w:tcPr>
            <w:tcW w:type="dxa" w:w="1440"/>
            <w:vAlign w:val="center"/>
            <w:shd w:fill="F7F7F7"/>
          </w:tcPr>
          <w:p>
            <w:pPr>
              <w:spacing w:after="40" w:before="40" w:line="240" w:lineRule="auto"/>
            </w:pPr>
            <w:r>
              <w:rPr>
                <w:rFonts w:ascii="Calibri" w:hAnsi="Calibri"/>
                <w:b w:val="0"/>
                <w:sz w:val="20"/>
              </w:rPr>
              <w:t>0,20</w:t>
            </w:r>
          </w:p>
        </w:tc>
        <w:tc>
          <w:tcPr>
            <w:tcW w:type="dxa" w:w="1440"/>
            <w:vAlign w:val="center"/>
            <w:shd w:fill="F7F7F7"/>
          </w:tcPr>
          <w:p>
            <w:pPr>
              <w:spacing w:after="40" w:before="40" w:line="240" w:lineRule="auto"/>
            </w:pPr>
            <w:r>
              <w:rPr>
                <w:rFonts w:ascii="Calibri" w:hAnsi="Calibri"/>
                <w:b w:val="0"/>
                <w:sz w:val="20"/>
              </w:rPr>
              <w:t>0,20</w:t>
            </w:r>
          </w:p>
        </w:tc>
        <w:tc>
          <w:tcPr>
            <w:tcW w:type="dxa" w:w="1440"/>
            <w:vAlign w:val="center"/>
            <w:shd w:fill="F7F7F7"/>
          </w:tcPr>
          <w:p>
            <w:pPr>
              <w:spacing w:after="40" w:before="40" w:line="240" w:lineRule="auto"/>
            </w:pPr>
            <w:r>
              <w:rPr>
                <w:rFonts w:ascii="Calibri" w:hAnsi="Calibri"/>
                <w:b w:val="0"/>
                <w:sz w:val="20"/>
              </w:rPr>
              <w:t>0,20</w:t>
            </w:r>
          </w:p>
        </w:tc>
        <w:tc>
          <w:tcPr>
            <w:tcW w:type="dxa" w:w="1440"/>
            <w:vAlign w:val="center"/>
            <w:shd w:fill="F7F7F7"/>
          </w:tcPr>
          <w:p>
            <w:pPr>
              <w:spacing w:after="40" w:before="40" w:line="240" w:lineRule="auto"/>
            </w:pPr>
            <w:r>
              <w:rPr>
                <w:rFonts w:ascii="Calibri" w:hAnsi="Calibri"/>
                <w:b w:val="0"/>
                <w:sz w:val="20"/>
              </w:rPr>
              <w:t>0,20</w:t>
            </w:r>
          </w:p>
        </w:tc>
      </w:tr>
      <w:tr>
        <w:trPr>
          <w:cantSplit/>
        </w:trPr>
        <w:tc>
          <w:tcPr>
            <w:tcW w:type="dxa" w:w="1584"/>
            <w:vAlign w:val="center"/>
          </w:tcPr>
          <w:p>
            <w:pPr>
              <w:spacing w:after="40" w:before="40" w:line="240" w:lineRule="auto"/>
            </w:pPr>
            <w:r>
              <w:rPr>
                <w:rFonts w:ascii="Calibri" w:hAnsi="Calibri"/>
                <w:b w:val="0"/>
                <w:sz w:val="20"/>
              </w:rPr>
              <w:t>SD</w:t>
            </w:r>
          </w:p>
        </w:tc>
        <w:tc>
          <w:tcPr>
            <w:tcW w:type="dxa" w:w="1440"/>
            <w:vAlign w:val="center"/>
          </w:tcPr>
          <w:p>
            <w:pPr>
              <w:spacing w:after="40" w:before="40" w:line="240" w:lineRule="auto"/>
            </w:pPr>
            <w:r>
              <w:rPr>
                <w:rFonts w:ascii="Calibri" w:hAnsi="Calibri"/>
                <w:b w:val="0"/>
                <w:sz w:val="20"/>
              </w:rPr>
              <w:t>0,10</w:t>
            </w:r>
          </w:p>
        </w:tc>
        <w:tc>
          <w:tcPr>
            <w:tcW w:type="dxa" w:w="1440"/>
            <w:vAlign w:val="center"/>
          </w:tcPr>
          <w:p>
            <w:pPr>
              <w:spacing w:after="40" w:before="40" w:line="240" w:lineRule="auto"/>
            </w:pPr>
            <w:r>
              <w:rPr>
                <w:rFonts w:ascii="Calibri" w:hAnsi="Calibri"/>
                <w:b w:val="0"/>
                <w:sz w:val="20"/>
              </w:rPr>
              <w:t>0</w:t>
            </w:r>
          </w:p>
        </w:tc>
        <w:tc>
          <w:tcPr>
            <w:tcW w:type="dxa" w:w="1440"/>
            <w:vAlign w:val="center"/>
          </w:tcPr>
          <w:p>
            <w:pPr>
              <w:spacing w:after="40" w:before="40" w:line="240" w:lineRule="auto"/>
            </w:pPr>
            <w:r>
              <w:rPr>
                <w:rFonts w:ascii="Calibri" w:hAnsi="Calibri"/>
                <w:b w:val="0"/>
                <w:sz w:val="20"/>
              </w:rPr>
              <w:t>0,15</w:t>
            </w:r>
          </w:p>
        </w:tc>
        <w:tc>
          <w:tcPr>
            <w:tcW w:type="dxa" w:w="1440"/>
            <w:vAlign w:val="center"/>
          </w:tcPr>
          <w:p>
            <w:pPr>
              <w:spacing w:after="40" w:before="40" w:line="240" w:lineRule="auto"/>
            </w:pPr>
            <w:r>
              <w:rPr>
                <w:rFonts w:ascii="Calibri" w:hAnsi="Calibri"/>
                <w:b w:val="0"/>
                <w:sz w:val="20"/>
              </w:rPr>
              <w:t>0,30</w:t>
            </w:r>
          </w:p>
        </w:tc>
        <w:tc>
          <w:tcPr>
            <w:tcW w:type="dxa" w:w="1440"/>
            <w:vAlign w:val="center"/>
          </w:tcPr>
          <w:p>
            <w:pPr>
              <w:spacing w:after="40" w:before="40" w:line="240" w:lineRule="auto"/>
            </w:pPr>
            <w:r>
              <w:rPr>
                <w:rFonts w:ascii="Calibri" w:hAnsi="Calibri"/>
                <w:b w:val="0"/>
                <w:sz w:val="20"/>
              </w:rPr>
              <w:t>0,15</w:t>
            </w:r>
          </w:p>
        </w:tc>
        <w:tc>
          <w:tcPr>
            <w:tcW w:type="dxa" w:w="1440"/>
            <w:vAlign w:val="center"/>
          </w:tcPr>
          <w:p>
            <w:pPr>
              <w:spacing w:after="40" w:before="40" w:line="240" w:lineRule="auto"/>
            </w:pPr>
            <w:r>
              <w:rPr>
                <w:rFonts w:ascii="Calibri" w:hAnsi="Calibri"/>
                <w:b w:val="0"/>
                <w:sz w:val="20"/>
              </w:rPr>
              <w:t>0,30</w:t>
            </w:r>
          </w:p>
        </w:tc>
      </w:tr>
    </w:tbl>
    <w:p>
      <w:pPr>
        <w:spacing w:after="0"/>
      </w:pPr>
      <w:r>
        <w:rPr>
          <w:b w:val="0"/>
        </w:rPr>
      </w:r>
    </w:p>
    <w:p>
      <w:r>
        <w:rPr>
          <w:b w:val="0"/>
        </w:rPr>
        <w:t>Le signal de taux modifie les votes décrits page 21. Il ne remplace pas les poids de régime ci-dessus. Le cycle choisit la ligne de poids utilisée pour le score de tilt macro.</w:t>
      </w:r>
    </w:p>
    <w:p>
      <w:pPr>
        <w:spacing w:before="100" w:after="0"/>
      </w:pPr>
      <w:r>
        <w:rPr>
          <w:b w:val="0"/>
          <w:color w:val="505050"/>
          <w:sz w:val="18"/>
        </w:rPr>
        <w:t>Source : model_secto.py → percentrank_inc, compute_rate_signal ; local_config.py → base_weights, regime_weights, rate_signal.</w:t>
      </w:r>
    </w:p>
    <w:p>
      <w:r>
        <w:br w:type="page"/>
      </w:r>
    </w:p>
    <w:p>
      <w:pPr>
        <w:spacing w:after="40"/>
      </w:pPr>
      <w:r>
        <w:rPr>
          <w:b w:val="0"/>
          <w:color w:val="555555"/>
          <w:sz w:val="18"/>
        </w:rPr>
        <w:t>ANNEXE B — MÉTHODE</w:t>
      </w:r>
    </w:p>
    <w:p>
      <w:pPr>
        <w:pStyle w:val="Heading1"/>
      </w:pPr>
      <w:r>
        <w:t>B9. Agrégats, rangs et votes</w:t>
      </w:r>
    </w:p>
    <w:p>
      <w:pPr>
        <w:pStyle w:val="Heading2"/>
      </w:pPr>
      <w:r>
        <w:t>1 — Retenir les dates calculables</w:t>
      </w:r>
    </w:p>
    <w:p>
      <w:r>
        <w:rPr>
          <w:b w:val="0"/>
        </w:rPr>
        <w:t>Les six piliers sont alignés sur leurs dates communes. Les résultats finaux demandent aussi un cycle valide et un signal de taux On ou Off. Cette condition de date n’impose pas que tous les scores de tous les secteurs soient présents.</w:t>
      </w:r>
    </w:p>
    <w:p>
      <w:pPr>
        <w:pStyle w:val="Heading2"/>
      </w:pPr>
      <w:r>
        <w:t>2 — Calculer les agrégats de rangs</w:t>
      </w:r>
    </w:p>
    <w:p>
      <w:pPr>
        <w:spacing w:after="140" w:line="240" w:lineRule="auto"/>
      </w:pPr>
      <w:r>
        <w:rPr>
          <w:rFonts w:ascii="Consolas" w:hAnsi="Consolas"/>
          <w:b w:val="0"/>
          <w:sz w:val="20"/>
        </w:rPr>
        <w:t>Score de base = somme des rangs × poids de base</w:t>
        <w:br/>
        <w:t>Score de tilt = somme des rangs × poids du cycle</w:t>
        <w:br/>
        <w:t>Rang de tilt = classement sectoriel du score de tilt</w:t>
      </w:r>
    </w:p>
    <w:p>
      <w:r>
        <w:rPr>
          <w:b w:val="0"/>
        </w:rPr>
        <w:t>Le rang le plus élevé reste le plus favorable. Le score global avec macro est ensuite calculé ainsi :</w:t>
      </w:r>
    </w:p>
    <w:p>
      <w:pPr>
        <w:spacing w:after="140" w:line="240" w:lineRule="auto"/>
      </w:pPr>
      <w:r>
        <w:rPr>
          <w:rFonts w:ascii="Consolas" w:hAnsi="Consolas"/>
          <w:b w:val="0"/>
          <w:sz w:val="20"/>
        </w:rPr>
        <w:t>EU : (rang L + rang M + rang V + rang Mo</w:t>
        <w:br/>
        <w:t xml:space="preserve">      + rang G + rang Vol + rang de tilt) / 7</w:t>
        <w:br/>
        <w:t>US : (rang L + rang V + rang Mo</w:t>
        <w:br/>
        <w:t xml:space="preserve">      + rang G + rang Vol + rang de tilt) / 6</w:t>
      </w:r>
    </w:p>
    <w:p>
      <w:r>
        <w:rPr>
          <w:b w:val="0"/>
        </w:rPr>
        <w:t>Le score global est à son tour classé entre secteurs pour départager les recommandations. Les sommes pondérées vérifient la présence de tous les piliers, même si un poids vaut zéro. Ainsi, Margin absent en US peut bloquer un agrégat malgré son poids nul.</w:t>
      </w:r>
    </w:p>
    <w:p>
      <w:pPr>
        <w:pStyle w:val="Heading2"/>
      </w:pPr>
      <w:r>
        <w:t>3 — Compter les votes Top et Worst</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2448"/>
        <w:gridCol w:w="3888"/>
        <w:gridCol w:w="3888"/>
      </w:tblGrid>
      <w:tr>
        <w:trPr>
          <w:cantSplit/>
          <w:tblHeader/>
        </w:trPr>
        <w:tc>
          <w:tcPr>
            <w:tcW w:type="dxa" w:w="2448"/>
            <w:vAlign w:val="center"/>
            <w:shd w:fill="E8E8E8"/>
          </w:tcPr>
          <w:p>
            <w:pPr>
              <w:spacing w:after="40" w:before="40" w:line="240" w:lineRule="auto"/>
            </w:pPr>
            <w:r>
              <w:rPr>
                <w:rFonts w:ascii="Calibri" w:hAnsi="Calibri"/>
                <w:b/>
                <w:sz w:val="19"/>
              </w:rPr>
              <w:t>Règle</w:t>
            </w:r>
          </w:p>
        </w:tc>
        <w:tc>
          <w:tcPr>
            <w:tcW w:type="dxa" w:w="3888"/>
            <w:vAlign w:val="center"/>
            <w:shd w:fill="E8E8E8"/>
          </w:tcPr>
          <w:p>
            <w:pPr>
              <w:spacing w:after="40" w:before="40" w:line="240" w:lineRule="auto"/>
            </w:pPr>
            <w:r>
              <w:rPr>
                <w:rFonts w:ascii="Calibri" w:hAnsi="Calibri"/>
                <w:b/>
                <w:sz w:val="19"/>
              </w:rPr>
              <w:t>EU</w:t>
            </w:r>
          </w:p>
        </w:tc>
        <w:tc>
          <w:tcPr>
            <w:tcW w:type="dxa" w:w="3888"/>
            <w:vAlign w:val="center"/>
            <w:shd w:fill="E8E8E8"/>
          </w:tcPr>
          <w:p>
            <w:pPr>
              <w:spacing w:after="40" w:before="40" w:line="240" w:lineRule="auto"/>
            </w:pPr>
            <w:r>
              <w:rPr>
                <w:rFonts w:ascii="Calibri" w:hAnsi="Calibri"/>
                <w:b/>
                <w:sz w:val="19"/>
              </w:rPr>
              <w:t>US</w:t>
            </w:r>
          </w:p>
        </w:tc>
      </w:tr>
      <w:tr>
        <w:trPr>
          <w:cantSplit/>
        </w:trPr>
        <w:tc>
          <w:tcPr>
            <w:tcW w:type="dxa" w:w="2448"/>
            <w:vAlign w:val="center"/>
          </w:tcPr>
          <w:p>
            <w:pPr>
              <w:spacing w:after="40" w:before="40" w:line="240" w:lineRule="auto"/>
            </w:pPr>
            <w:r>
              <w:rPr>
                <w:rFonts w:ascii="Calibri" w:hAnsi="Calibri"/>
                <w:b w:val="0"/>
                <w:sz w:val="19"/>
              </w:rPr>
              <w:t>Vote de base par pilier</w:t>
            </w:r>
          </w:p>
        </w:tc>
        <w:tc>
          <w:tcPr>
            <w:tcW w:type="dxa" w:w="3888"/>
            <w:vAlign w:val="center"/>
          </w:tcPr>
          <w:p>
            <w:pPr>
              <w:spacing w:after="40" w:before="40" w:line="240" w:lineRule="auto"/>
            </w:pPr>
            <w:r>
              <w:rPr>
                <w:rFonts w:ascii="Calibri" w:hAnsi="Calibri"/>
                <w:b w:val="0"/>
                <w:sz w:val="19"/>
              </w:rPr>
              <w:t>Six piliers : +1 Top si rang &gt; N−3 ; +1 Worst si rang ≤ 3.</w:t>
            </w:r>
          </w:p>
        </w:tc>
        <w:tc>
          <w:tcPr>
            <w:tcW w:type="dxa" w:w="3888"/>
            <w:vAlign w:val="center"/>
          </w:tcPr>
          <w:p>
            <w:pPr>
              <w:spacing w:after="40" w:before="40" w:line="240" w:lineRule="auto"/>
            </w:pPr>
            <w:r>
              <w:rPr>
                <w:rFonts w:ascii="Calibri" w:hAnsi="Calibri"/>
                <w:b w:val="0"/>
                <w:sz w:val="19"/>
              </w:rPr>
              <w:t>Six piliers pour Top. Cinq pour Worst : Margin est exclu de Worst.</w:t>
            </w:r>
          </w:p>
        </w:tc>
      </w:tr>
      <w:tr>
        <w:trPr>
          <w:cantSplit/>
        </w:trPr>
        <w:tc>
          <w:tcPr>
            <w:tcW w:type="dxa" w:w="2448"/>
            <w:vAlign w:val="center"/>
            <w:shd w:fill="F7F7F7"/>
          </w:tcPr>
          <w:p>
            <w:pPr>
              <w:spacing w:after="40" w:before="40" w:line="240" w:lineRule="auto"/>
            </w:pPr>
            <w:r>
              <w:rPr>
                <w:rFonts w:ascii="Calibri" w:hAnsi="Calibri"/>
                <w:b w:val="0"/>
                <w:sz w:val="19"/>
              </w:rPr>
              <w:t>Vote du tilt macro</w:t>
            </w:r>
          </w:p>
        </w:tc>
        <w:tc>
          <w:tcPr>
            <w:tcW w:type="dxa" w:w="3888"/>
            <w:vAlign w:val="center"/>
            <w:shd w:fill="F7F7F7"/>
          </w:tcPr>
          <w:p>
            <w:pPr>
              <w:spacing w:after="40" w:before="40" w:line="240" w:lineRule="auto"/>
            </w:pPr>
            <w:r>
              <w:rPr>
                <w:rFonts w:ascii="Calibri" w:hAnsi="Calibri"/>
                <w:b w:val="0"/>
                <w:sz w:val="19"/>
              </w:rPr>
              <w:t>+2 du côté Top ou Worst si son rang est dans la zone correspondante.</w:t>
            </w:r>
          </w:p>
        </w:tc>
        <w:tc>
          <w:tcPr>
            <w:tcW w:type="dxa" w:w="3888"/>
            <w:vAlign w:val="center"/>
            <w:shd w:fill="F7F7F7"/>
          </w:tcPr>
          <w:p>
            <w:pPr>
              <w:spacing w:after="40" w:before="40" w:line="240" w:lineRule="auto"/>
            </w:pPr>
            <w:r>
              <w:rPr>
                <w:rFonts w:ascii="Calibri" w:hAnsi="Calibri"/>
                <w:b w:val="0"/>
                <w:sz w:val="19"/>
              </w:rPr>
              <w:t>+1 du côté Top ou Worst selon la même règle.</w:t>
            </w:r>
          </w:p>
        </w:tc>
      </w:tr>
      <w:tr>
        <w:trPr>
          <w:cantSplit/>
        </w:trPr>
        <w:tc>
          <w:tcPr>
            <w:tcW w:type="dxa" w:w="2448"/>
            <w:vAlign w:val="center"/>
          </w:tcPr>
          <w:p>
            <w:pPr>
              <w:spacing w:after="40" w:before="40" w:line="240" w:lineRule="auto"/>
            </w:pPr>
            <w:r>
              <w:rPr>
                <w:rFonts w:ascii="Calibri" w:hAnsi="Calibri"/>
                <w:b w:val="0"/>
                <w:sz w:val="19"/>
              </w:rPr>
              <w:t>Signal de taux On</w:t>
            </w:r>
          </w:p>
        </w:tc>
        <w:tc>
          <w:tcPr>
            <w:tcW w:type="dxa" w:w="3888"/>
            <w:vAlign w:val="center"/>
          </w:tcPr>
          <w:p>
            <w:pPr>
              <w:spacing w:after="40" w:before="40" w:line="240" w:lineRule="auto"/>
            </w:pPr>
            <w:r>
              <w:rPr>
                <w:rFonts w:ascii="Calibri" w:hAnsi="Calibri"/>
                <w:b w:val="0"/>
                <w:sz w:val="19"/>
              </w:rPr>
              <w:t>+1 supplémentaire par pilier Leverage et Value classé dans la zone Top ou Worst.</w:t>
            </w:r>
          </w:p>
        </w:tc>
        <w:tc>
          <w:tcPr>
            <w:tcW w:type="dxa" w:w="3888"/>
            <w:vAlign w:val="center"/>
          </w:tcPr>
          <w:p>
            <w:pPr>
              <w:spacing w:after="40" w:before="40" w:line="240" w:lineRule="auto"/>
            </w:pPr>
            <w:r>
              <w:rPr>
                <w:rFonts w:ascii="Calibri" w:hAnsi="Calibri"/>
                <w:b w:val="0"/>
                <w:sz w:val="19"/>
              </w:rPr>
              <w:t>Même règle.</w:t>
            </w:r>
          </w:p>
        </w:tc>
      </w:tr>
      <w:tr>
        <w:trPr>
          <w:cantSplit/>
        </w:trPr>
        <w:tc>
          <w:tcPr>
            <w:tcW w:type="dxa" w:w="2448"/>
            <w:vAlign w:val="center"/>
            <w:shd w:fill="F7F7F7"/>
          </w:tcPr>
          <w:p>
            <w:pPr>
              <w:spacing w:after="40" w:before="40" w:line="240" w:lineRule="auto"/>
            </w:pPr>
            <w:r>
              <w:rPr>
                <w:rFonts w:ascii="Calibri" w:hAnsi="Calibri"/>
                <w:b w:val="0"/>
                <w:sz w:val="19"/>
              </w:rPr>
              <w:t>Travel &amp; leisure</w:t>
            </w:r>
          </w:p>
        </w:tc>
        <w:tc>
          <w:tcPr>
            <w:tcW w:type="dxa" w:w="3888"/>
            <w:vAlign w:val="center"/>
            <w:shd w:fill="F7F7F7"/>
          </w:tcPr>
          <w:p>
            <w:pPr>
              <w:spacing w:after="40" w:before="40" w:line="240" w:lineRule="auto"/>
            </w:pPr>
            <w:r>
              <w:rPr>
                <w:rFonts w:ascii="Calibri" w:hAnsi="Calibri"/>
                <w:b w:val="0"/>
                <w:sz w:val="19"/>
              </w:rPr>
              <w:t>Depuis le 31/10/2011, Top et Worst sont forcés à zéro.</w:t>
            </w:r>
          </w:p>
        </w:tc>
        <w:tc>
          <w:tcPr>
            <w:tcW w:type="dxa" w:w="3888"/>
            <w:vAlign w:val="center"/>
            <w:shd w:fill="F7F7F7"/>
          </w:tcPr>
          <w:p>
            <w:pPr>
              <w:spacing w:after="40" w:before="40" w:line="240" w:lineRule="auto"/>
            </w:pPr>
            <w:r>
              <w:rPr>
                <w:rFonts w:ascii="Calibri" w:hAnsi="Calibri"/>
                <w:b w:val="0"/>
                <w:sz w:val="19"/>
              </w:rPr>
              <w:t>Même règle.</w:t>
            </w:r>
          </w:p>
        </w:tc>
      </w:tr>
    </w:tbl>
    <w:p>
      <w:pPr>
        <w:spacing w:after="0"/>
      </w:pPr>
      <w:r>
        <w:rPr>
          <w:b w:val="0"/>
        </w:rPr>
      </w:r>
    </w:p>
    <w:p>
      <w:r>
        <w:rPr>
          <w:b w:val="0"/>
        </w:rPr>
        <w:t>Les zones sont des seuils de rang, pas une sélection de trois lignes à ce stade. Les ex æquo peuvent modifier le nombre de secteurs qui reçoivent un vote. Une comparaison sur un rang absent ne donne pas de vote.</w:t>
      </w:r>
    </w:p>
    <w:p>
      <w:pPr>
        <w:spacing w:before="100" w:after="0"/>
      </w:pPr>
      <w:r>
        <w:rPr>
          <w:b w:val="0"/>
          <w:color w:val="505050"/>
          <w:sz w:val="18"/>
        </w:rPr>
        <w:t>Source : model_secto.py → align_pillars, compute_weighted_score, compute_macro_adjusted_score, compute_final_results.</w:t>
      </w:r>
    </w:p>
    <w:p>
      <w:r>
        <w:br w:type="page"/>
      </w:r>
    </w:p>
    <w:p>
      <w:pPr>
        <w:spacing w:after="40"/>
      </w:pPr>
      <w:r>
        <w:rPr>
          <w:b w:val="0"/>
          <w:color w:val="555555"/>
          <w:sz w:val="18"/>
        </w:rPr>
        <w:t>ANNEXE B — MÉTHODE</w:t>
      </w:r>
    </w:p>
    <w:p>
      <w:pPr>
        <w:pStyle w:val="Heading1"/>
      </w:pPr>
      <w:r>
        <w:t>B10. De ces votes à la recommandation</w:t>
      </w:r>
    </w:p>
    <w:p>
      <w:r>
        <w:drawing>
          <wp:inline xmlns:a="http://schemas.openxmlformats.org/drawingml/2006/main" xmlns:pic="http://schemas.openxmlformats.org/drawingml/2006/picture">
            <wp:extent cx="6446520" cy="4774870"/>
            <wp:docPr id="4" name="Picture 4"/>
            <wp:cNvGraphicFramePr>
              <a:graphicFrameLocks noChangeAspect="1"/>
            </wp:cNvGraphicFramePr>
            <a:graphic>
              <a:graphicData uri="http://schemas.openxmlformats.org/drawingml/2006/picture">
                <pic:pic>
                  <pic:nvPicPr>
                    <pic:cNvPr id="0" name="pipeline_recommandation.png"/>
                    <pic:cNvPicPr/>
                  </pic:nvPicPr>
                  <pic:blipFill>
                    <a:blip r:embed="rId13"/>
                    <a:stretch>
                      <a:fillRect/>
                    </a:stretch>
                  </pic:blipFill>
                  <pic:spPr>
                    <a:xfrm>
                      <a:off x="0" y="0"/>
                      <a:ext cx="6446520" cy="4774870"/>
                    </a:xfrm>
                    <a:prstGeom prst="rect"/>
                  </pic:spPr>
                </pic:pic>
              </a:graphicData>
            </a:graphic>
          </wp:inline>
        </w:drawing>
      </w:r>
    </w:p>
    <w:p>
      <w:pPr>
        <w:pStyle w:val="Caption"/>
      </w:pPr>
      <w:r>
        <w:rPr>
          <w:b w:val="0"/>
        </w:rPr>
        <w:t>Schéma 3 — Ordre exact de sélection dans select_top_worst et compute_final_results.</w:t>
      </w:r>
    </w:p>
    <w:p>
      <w:r>
        <w:rPr>
          <w:b w:val="0"/>
        </w:rPr>
        <w:t>Les deux listes sont construites séparément. Elles peuvent se recouper ; la priorité à Positive peut alors réduire le nombre final de Negative. Un manque de candidats peut aussi donner moins de trois secteurs dans un groupe.</w:t>
      </w:r>
    </w:p>
    <w:p>
      <w:r>
        <w:rPr>
          <w:b w:val="0"/>
        </w:rPr>
        <w:t>Travel &amp; leisure reste candidat après la remise à zéro de ses votes. De même, un rang global absent ne supprime pas automatiquement un candidat : il est placé après les valeurs disponibles lors du tri. Une recommandation peut donc exister malgré un score global absent.</w:t>
      </w:r>
    </w:p>
    <w:p>
      <w:r>
        <w:rPr>
          <w:b w:val="0"/>
        </w:rPr>
        <w:t>Si les trois critères de tri sont identiques, aucune quatrième règle métier de départage n’est définie dans le code.</w:t>
      </w:r>
    </w:p>
    <w:p>
      <w:pPr>
        <w:spacing w:before="100" w:after="0"/>
      </w:pPr>
      <w:r>
        <w:rPr>
          <w:b w:val="0"/>
          <w:color w:val="505050"/>
          <w:sz w:val="18"/>
        </w:rPr>
        <w:t>Source : model_secto.py → select_top_worst, compute_final_results ; local_config.py → n_top, n_worst, règles de neutralisation.</w:t>
      </w:r>
    </w:p>
    <w:p>
      <w:r>
        <w:br w:type="page"/>
      </w:r>
    </w:p>
    <w:p>
      <w:pPr>
        <w:spacing w:after="40"/>
      </w:pPr>
      <w:r>
        <w:rPr>
          <w:b w:val="0"/>
          <w:color w:val="555555"/>
          <w:sz w:val="18"/>
        </w:rPr>
        <w:t>ANNEXE B — MÉTHODE</w:t>
      </w:r>
    </w:p>
    <w:p>
      <w:pPr>
        <w:pStyle w:val="Heading1"/>
      </w:pPr>
      <w:r>
        <w:t>B11. Historiques affichés et détails du scorecard</w:t>
      </w:r>
    </w:p>
    <w:p>
      <w:pPr>
        <w:pStyle w:val="Heading2"/>
      </w:pPr>
      <w:r>
        <w:t>Les mini-historiques viennent d’un export dédié</w:t>
      </w:r>
    </w:p>
    <w:p>
      <w:r>
        <w:rPr>
          <w:b w:val="0"/>
        </w:rPr>
        <w:t>Le tableau D1 présente le dernier mois de signal. Plus bas, Output contient aussi 60 colonnes mensuelles pour les mini-graphiques, du mois du signal vers les mois les plus anciens. Les dates sont écrites dans l’en-tête ; les mois manquants restent vides.</w:t>
      </w:r>
    </w:p>
    <w:p>
      <w:r>
        <w:rPr>
          <w:b w:val="0"/>
        </w:rPr>
        <w:t>Pour les variables fondamentales, la série affichée est la mesure brute moins la moyenne sectorielle. Les mêmes exclusions de Fin que dans la définition de la variable sont appliquées. Pour les révisions de bénéfices, la série est directement le ratio de révision.</w:t>
      </w:r>
    </w:p>
    <w:p>
      <w:r>
        <w:rPr>
          <w:b w:val="0"/>
        </w:rPr>
        <w:t>Ces mini-graphiques ne montrent donc pas l’historique du rang global ni celui du score de chaque pilier. Ils montrent les indicateurs détaillés prévus dans le scorecard d’origine. Les six piliers restent dépliables ; toutes leurs lignes ne possèdent pas nécessairement un mini-graphique.</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4320"/>
        <w:gridCol w:w="2952"/>
        <w:gridCol w:w="2952"/>
      </w:tblGrid>
      <w:tr>
        <w:trPr>
          <w:cantSplit/>
          <w:tblHeader/>
        </w:trPr>
        <w:tc>
          <w:tcPr>
            <w:tcW w:type="dxa" w:w="4320"/>
            <w:vAlign w:val="center"/>
            <w:shd w:fill="E8E8E8"/>
          </w:tcPr>
          <w:p>
            <w:pPr>
              <w:spacing w:after="40" w:before="40" w:line="240" w:lineRule="auto"/>
            </w:pPr>
            <w:r>
              <w:rPr>
                <w:rFonts w:ascii="Calibri" w:hAnsi="Calibri"/>
                <w:b/>
                <w:sz w:val="20"/>
              </w:rPr>
              <w:t>Contenu</w:t>
            </w:r>
          </w:p>
        </w:tc>
        <w:tc>
          <w:tcPr>
            <w:tcW w:type="dxa" w:w="2952"/>
            <w:vAlign w:val="center"/>
            <w:shd w:fill="E8E8E8"/>
          </w:tcPr>
          <w:p>
            <w:pPr>
              <w:spacing w:after="40" w:before="40" w:line="240" w:lineRule="auto"/>
            </w:pPr>
            <w:r>
              <w:rPr>
                <w:rFonts w:ascii="Calibri" w:hAnsi="Calibri"/>
                <w:b/>
                <w:sz w:val="20"/>
              </w:rPr>
              <w:t>EU</w:t>
            </w:r>
          </w:p>
        </w:tc>
        <w:tc>
          <w:tcPr>
            <w:tcW w:type="dxa" w:w="2952"/>
            <w:vAlign w:val="center"/>
            <w:shd w:fill="E8E8E8"/>
          </w:tcPr>
          <w:p>
            <w:pPr>
              <w:spacing w:after="40" w:before="40" w:line="240" w:lineRule="auto"/>
            </w:pPr>
            <w:r>
              <w:rPr>
                <w:rFonts w:ascii="Calibri" w:hAnsi="Calibri"/>
                <w:b/>
                <w:sz w:val="20"/>
              </w:rPr>
              <w:t>US</w:t>
            </w:r>
          </w:p>
        </w:tc>
      </w:tr>
      <w:tr>
        <w:trPr>
          <w:cantSplit/>
        </w:trPr>
        <w:tc>
          <w:tcPr>
            <w:tcW w:type="dxa" w:w="4320"/>
            <w:vAlign w:val="center"/>
          </w:tcPr>
          <w:p>
            <w:pPr>
              <w:spacing w:after="40" w:before="40" w:line="240" w:lineRule="auto"/>
            </w:pPr>
            <w:r>
              <w:rPr>
                <w:rFonts w:ascii="Calibri" w:hAnsi="Calibri"/>
                <w:b w:val="0"/>
                <w:sz w:val="20"/>
              </w:rPr>
              <w:t>Séries exportées pour les mini-historiques</w:t>
            </w:r>
          </w:p>
        </w:tc>
        <w:tc>
          <w:tcPr>
            <w:tcW w:type="dxa" w:w="2952"/>
            <w:vAlign w:val="center"/>
          </w:tcPr>
          <w:p>
            <w:pPr>
              <w:spacing w:after="40" w:before="40" w:line="240" w:lineRule="auto"/>
            </w:pPr>
            <w:r>
              <w:rPr>
                <w:rFonts w:ascii="Calibri" w:hAnsi="Calibri"/>
                <w:b w:val="0"/>
                <w:sz w:val="20"/>
              </w:rPr>
              <w:t>169 lignes de données</w:t>
            </w:r>
          </w:p>
        </w:tc>
        <w:tc>
          <w:tcPr>
            <w:tcW w:type="dxa" w:w="2952"/>
            <w:vAlign w:val="center"/>
          </w:tcPr>
          <w:p>
            <w:pPr>
              <w:spacing w:after="40" w:before="40" w:line="240" w:lineRule="auto"/>
            </w:pPr>
            <w:r>
              <w:rPr>
                <w:rFonts w:ascii="Calibri" w:hAnsi="Calibri"/>
                <w:b w:val="0"/>
                <w:sz w:val="20"/>
              </w:rPr>
              <w:t>156 lignes de données</w:t>
            </w:r>
          </w:p>
        </w:tc>
      </w:tr>
      <w:tr>
        <w:trPr>
          <w:cantSplit/>
        </w:trPr>
        <w:tc>
          <w:tcPr>
            <w:tcW w:type="dxa" w:w="4320"/>
            <w:vAlign w:val="center"/>
            <w:shd w:fill="F7F7F7"/>
          </w:tcPr>
          <w:p>
            <w:pPr>
              <w:spacing w:after="40" w:before="40" w:line="240" w:lineRule="auto"/>
            </w:pPr>
            <w:r>
              <w:rPr>
                <w:rFonts w:ascii="Calibri" w:hAnsi="Calibri"/>
                <w:b w:val="0"/>
                <w:sz w:val="20"/>
              </w:rPr>
              <w:t>Colonnes de valeurs mensuelles</w:t>
            </w:r>
          </w:p>
        </w:tc>
        <w:tc>
          <w:tcPr>
            <w:tcW w:type="dxa" w:w="2952"/>
            <w:vAlign w:val="center"/>
            <w:shd w:fill="F7F7F7"/>
          </w:tcPr>
          <w:p>
            <w:pPr>
              <w:spacing w:after="40" w:before="40" w:line="240" w:lineRule="auto"/>
            </w:pPr>
            <w:r>
              <w:rPr>
                <w:rFonts w:ascii="Calibri" w:hAnsi="Calibri"/>
                <w:b w:val="0"/>
                <w:sz w:val="20"/>
              </w:rPr>
              <w:t>F:BM, à partir de la ligne 39</w:t>
            </w:r>
          </w:p>
        </w:tc>
        <w:tc>
          <w:tcPr>
            <w:tcW w:type="dxa" w:w="2952"/>
            <w:vAlign w:val="center"/>
            <w:shd w:fill="F7F7F7"/>
          </w:tcPr>
          <w:p>
            <w:pPr>
              <w:spacing w:after="40" w:before="40" w:line="240" w:lineRule="auto"/>
            </w:pPr>
            <w:r>
              <w:rPr>
                <w:rFonts w:ascii="Calibri" w:hAnsi="Calibri"/>
                <w:b w:val="0"/>
                <w:sz w:val="20"/>
              </w:rPr>
              <w:t>F:BM, à partir de la ligne 38</w:t>
            </w:r>
          </w:p>
        </w:tc>
      </w:tr>
      <w:tr>
        <w:trPr>
          <w:cantSplit/>
        </w:trPr>
        <w:tc>
          <w:tcPr>
            <w:tcW w:type="dxa" w:w="4320"/>
            <w:vAlign w:val="center"/>
          </w:tcPr>
          <w:p>
            <w:pPr>
              <w:spacing w:after="40" w:before="40" w:line="240" w:lineRule="auto"/>
            </w:pPr>
            <w:r>
              <w:rPr>
                <w:rFonts w:ascii="Calibri" w:hAnsi="Calibri"/>
                <w:b w:val="0"/>
                <w:sz w:val="20"/>
              </w:rPr>
              <w:t>Tableau long de détails du mois</w:t>
            </w:r>
          </w:p>
        </w:tc>
        <w:tc>
          <w:tcPr>
            <w:tcW w:type="dxa" w:w="2952"/>
            <w:vAlign w:val="center"/>
          </w:tcPr>
          <w:p>
            <w:pPr>
              <w:spacing w:after="40" w:before="40" w:line="240" w:lineRule="auto"/>
            </w:pPr>
            <w:r>
              <w:rPr>
                <w:rFonts w:ascii="Calibri" w:hAnsi="Calibri"/>
                <w:b w:val="0"/>
                <w:sz w:val="20"/>
              </w:rPr>
              <w:t>221 lignes de données</w:t>
            </w:r>
          </w:p>
        </w:tc>
        <w:tc>
          <w:tcPr>
            <w:tcW w:type="dxa" w:w="2952"/>
            <w:vAlign w:val="center"/>
          </w:tcPr>
          <w:p>
            <w:pPr>
              <w:spacing w:after="40" w:before="40" w:line="240" w:lineRule="auto"/>
            </w:pPr>
            <w:r>
              <w:rPr>
                <w:rFonts w:ascii="Calibri" w:hAnsi="Calibri"/>
                <w:b w:val="0"/>
                <w:sz w:val="20"/>
              </w:rPr>
              <w:t>216 lignes de données</w:t>
            </w:r>
          </w:p>
        </w:tc>
      </w:tr>
      <w:tr>
        <w:trPr>
          <w:cantSplit/>
        </w:trPr>
        <w:tc>
          <w:tcPr>
            <w:tcW w:type="dxa" w:w="4320"/>
            <w:vAlign w:val="center"/>
            <w:shd w:fill="F7F7F7"/>
          </w:tcPr>
          <w:p>
            <w:pPr>
              <w:spacing w:after="40" w:before="40" w:line="240" w:lineRule="auto"/>
            </w:pPr>
            <w:r>
              <w:rPr>
                <w:rFonts w:ascii="Calibri" w:hAnsi="Calibri"/>
                <w:b w:val="0"/>
                <w:sz w:val="20"/>
              </w:rPr>
              <w:t>Champs du tableau long</w:t>
            </w:r>
          </w:p>
        </w:tc>
        <w:tc>
          <w:tcPr>
            <w:tcW w:type="dxa" w:w="2952"/>
            <w:vAlign w:val="center"/>
            <w:shd w:fill="F7F7F7"/>
          </w:tcPr>
          <w:p>
            <w:pPr>
              <w:spacing w:after="40" w:before="40" w:line="240" w:lineRule="auto"/>
            </w:pPr>
            <w:r>
              <w:rPr>
                <w:rFonts w:ascii="Calibri" w:hAnsi="Calibri"/>
                <w:b w:val="0"/>
                <w:sz w:val="20"/>
              </w:rPr>
              <w:t>Date, Secteur, Pilier, Variable, Mesure, Score</w:t>
            </w:r>
          </w:p>
        </w:tc>
        <w:tc>
          <w:tcPr>
            <w:tcW w:type="dxa" w:w="2952"/>
            <w:vAlign w:val="center"/>
            <w:shd w:fill="F7F7F7"/>
          </w:tcPr>
          <w:p>
            <w:pPr>
              <w:spacing w:after="40" w:before="40" w:line="240" w:lineRule="auto"/>
            </w:pPr>
            <w:r>
              <w:rPr>
                <w:rFonts w:ascii="Calibri" w:hAnsi="Calibri"/>
                <w:b w:val="0"/>
                <w:sz w:val="20"/>
              </w:rPr>
              <w:t>Les mêmes six champs</w:t>
            </w:r>
          </w:p>
        </w:tc>
      </w:tr>
    </w:tbl>
    <w:p>
      <w:pPr>
        <w:spacing w:after="0"/>
      </w:pPr>
      <w:r>
        <w:rPr>
          <w:b w:val="0"/>
        </w:rPr>
      </w:r>
    </w:p>
    <w:p>
      <w:pPr>
        <w:pStyle w:val="Heading2"/>
      </w:pPr>
      <w:r>
        <w:t>Recommandations récentes et archive</w:t>
      </w:r>
    </w:p>
    <w:p>
      <w:r>
        <w:rPr>
          <w:b w:val="0"/>
        </w:rPr>
        <w:t>Le tableau récent montre 15 mois. Les valeurs sont −1 pour Negative, 0 pour Neutral et +1 pour Positive. L’en-tête affiche le mois d’allocation T+1 associé au signal T.</w:t>
      </w:r>
    </w:p>
    <w:p>
      <w:r>
        <w:rPr>
          <w:b w:val="0"/>
        </w:rPr>
        <w:t>Reco_histo garde ses anciennes observations et reçoit les nouveaux mois de signal. Le snapshot précédent dans D1 est, lui, recherché dans le mois calendaire immédiatement précédent ; si ce mois manque, ses champs restent absents.</w:t>
      </w:r>
    </w:p>
    <w:p>
      <w:pPr>
        <w:pStyle w:val="Heading2"/>
      </w:pPr>
      <w:r>
        <w:t>Rangs affichés et valeurs manquantes</w:t>
      </w:r>
    </w:p>
    <w:p>
      <w:r>
        <w:rPr>
          <w:b w:val="0"/>
        </w:rPr>
        <w:t>Le rang visible d’un pilier et le rang macro valent N + 1 − rang interne. Si des secteurs sont absents, le meilleur rang visible peut être supérieur à 1, car N reste la taille de l’univers. Les valeurs manquantes s’affichent en n.a. ou restent vides selon le type de bloc.</w:t>
      </w:r>
    </w:p>
    <w:p>
      <w:pPr>
        <w:spacing w:before="100" w:after="0"/>
      </w:pPr>
      <w:r>
        <w:rPr>
          <w:b w:val="0"/>
          <w:color w:val="505050"/>
          <w:sz w:val="18"/>
        </w:rPr>
        <w:t>Source : excel_output.py → DETAIL_COLUMNS, build_output ; excel_output.py → link_dashboard, append_recommendations.</w:t>
      </w:r>
    </w:p>
    <w:p>
      <w:r>
        <w:br w:type="page"/>
      </w:r>
    </w:p>
    <w:p>
      <w:pPr>
        <w:spacing w:after="40"/>
      </w:pPr>
      <w:r>
        <w:rPr>
          <w:b w:val="0"/>
          <w:color w:val="555555"/>
          <w:sz w:val="18"/>
        </w:rPr>
        <w:t>ANNEXE B — MÉTHODE</w:t>
      </w:r>
    </w:p>
    <w:p>
      <w:pPr>
        <w:pStyle w:val="Heading1"/>
      </w:pPr>
      <w:r>
        <w:t>B12. Portefeuille et performances</w:t>
      </w:r>
    </w:p>
    <w:p>
      <w:pPr>
        <w:pStyle w:val="Heading2"/>
      </w:pPr>
      <w:r>
        <w:t>Alignement entre signal et rendement</w:t>
      </w:r>
    </w:p>
    <w:p>
      <w:r>
        <w:rPr>
          <w:b w:val="0"/>
        </w:rPr>
        <w:t>Pour le rendement du mois t, utiliser la recommandation du mois t−1. La fonction retient les mois de signal où au moins un secteur possède un score global disponible. Les poids sont les derniers poids Bench disponibles à une date inférieure ou égale au mois de rendement t.</w:t>
      </w:r>
    </w:p>
    <w:p>
      <w:r>
        <w:rPr>
          <w:b w:val="0"/>
        </w:rPr>
        <w:t>Les poids peuvent donc provenir du mois de rendement lui-même. Le code ne force pas leur date à t−1. Leur disponibilité effective doit être cohérente avec l’usage prévu du résultat.</w:t>
      </w:r>
    </w:p>
    <w:p>
      <w:pPr>
        <w:pStyle w:val="Heading2"/>
      </w:pPr>
      <w:r>
        <w:t>Modification des poids de Bench</w:t>
      </w:r>
    </w:p>
    <w:p>
      <w:pPr>
        <w:spacing w:after="140" w:line="240" w:lineRule="auto"/>
      </w:pPr>
      <w:r>
        <w:rPr>
          <w:rFonts w:ascii="Consolas" w:hAnsi="Consolas"/>
          <w:b w:val="0"/>
          <w:sz w:val="20"/>
        </w:rPr>
        <w:t>Positive : w* = max(1,20 × w ; w + 0,05)</w:t>
        <w:br/>
        <w:t>Negative : w* = min(0,80 × w ; max(w − 0,05 ; 0))</w:t>
        <w:br/>
        <w:t>Neutral  : w* = w</w:t>
        <w:br/>
        <w:t>Rendement portefeuille = somme(w* × rendement) / somme(w*)</w:t>
      </w:r>
    </w:p>
    <w:p>
      <w:r>
        <w:rPr>
          <w:b w:val="0"/>
        </w:rPr>
        <w:t>Les poids sont exprimés en fraction : 0,05 représente cinq points de pourcentage. Les paramètres sont PORTFOLIO_TILT = 0,20 et PORTFOLIO_DELTA = 0,05. Après les ajustements, la division par la somme des poids normalise le portefeuille.</w:t>
      </w:r>
    </w:p>
    <w:p>
      <w:r>
        <w:rPr>
          <w:b w:val="0"/>
        </w:rPr>
        <w:t>Un poids absent, ou un rendement absent pour un secteur avec poids ajusté positif, rend le rendement du portefeuille absent. Les groupes Top et Bottom utilisent la moyenne simple des rendements disponibles de leurs secteurs recommandés.</w:t>
      </w:r>
    </w:p>
    <w:p>
      <w:pPr>
        <w:pStyle w:val="Heading2"/>
      </w:pPr>
      <w:r>
        <w:t>Courbes et performances cumulées</w:t>
      </w:r>
    </w:p>
    <w:p>
      <w:pPr>
        <w:pStyle w:val="ListBullet"/>
      </w:pPr>
      <w:r>
        <w:rPr>
          <w:b w:val="0"/>
        </w:rPr>
        <w:t>Top = moyenne des Positive ; Bottom = moyenne des Negative ; Long/Short = Top − Bottom. La courbe Bottom représente le rendement du groupe détenu à l’achat. Le champ « Short » d’Output vaut −Bottom.</w:t>
      </w:r>
    </w:p>
    <w:p>
      <w:pPr>
        <w:pStyle w:val="ListBullet"/>
      </w:pPr>
      <w:r>
        <w:rPr>
          <w:b w:val="0"/>
        </w:rPr>
        <w:t>Les cumuls commencent à 100 le mois précédant le premier rendement disponible. Chaque mois multiplie le cumul par 1 + rendement. Une valeur absente interrompt la suite de la courbe concernée, car cumprod utilise skipna=False.</w:t>
      </w:r>
    </w:p>
    <w:p>
      <w:pPr>
        <w:pStyle w:val="ListBullet"/>
      </w:pPr>
      <w:r>
        <w:rPr>
          <w:b w:val="0"/>
        </w:rPr>
        <w:t>Les courbes sur un an reprennent les 13 points mensuels de la fenêtre et sont ramenées à 100 au premier point disponible de cette fenêtre.</w:t>
      </w:r>
    </w:p>
    <w:p>
      <w:pPr>
        <w:pStyle w:val="ListBullet"/>
      </w:pPr>
      <w:r>
        <w:rPr>
          <w:b w:val="0"/>
        </w:rPr>
        <w:t>Les performances sectorielles 1M, 3M, YTD, 1Y, 3Y et 5Y composent respectivement 1, 3, le numéro du mois courant, 12, 36 et 60 observations. Il faut le nombre requis de rendements valides. Les performances 3Y et 5Y ne sont pas annualisées.</w:t>
      </w:r>
    </w:p>
    <w:p>
      <w:r>
        <w:rPr>
          <w:b w:val="0"/>
        </w:rPr>
        <w:t>Ces séries ne comprennent pas de coût de transaction explicite. Les titres des graphiques sont ceux du classeur ; la vérification des identifiants du benchmark reste nécessaire, comme indiqué page 8.</w:t>
      </w:r>
    </w:p>
    <w:p>
      <w:pPr>
        <w:spacing w:before="100" w:after="0"/>
      </w:pPr>
      <w:r>
        <w:rPr>
          <w:b w:val="0"/>
          <w:color w:val="505050"/>
          <w:sz w:val="18"/>
        </w:rPr>
        <w:t>Source : excel_output.py → compute_portfolio, build_output ; local_config.py → PORTFOLIO_DELTA, PORTFOLIO_TILT.</w:t>
      </w:r>
    </w:p>
    <w:p>
      <w:r>
        <w:br w:type="page"/>
      </w:r>
    </w:p>
    <w:p>
      <w:pPr>
        <w:spacing w:after="40"/>
      </w:pPr>
      <w:r>
        <w:rPr>
          <w:b w:val="0"/>
          <w:color w:val="555555"/>
          <w:sz w:val="18"/>
        </w:rPr>
        <w:t>ANNEXE B — RÉFÉRENCES</w:t>
      </w:r>
    </w:p>
    <w:p>
      <w:pPr>
        <w:pStyle w:val="Heading1"/>
      </w:pPr>
      <w:r>
        <w:t>B13. Retrouver et faire évoluer une règle</w:t>
      </w:r>
    </w:p>
    <w:tbl>
      <w:tblPr>
        <w:tblW w:type="auto" w:w="0"/>
        <w:jc w:val="center"/>
        <w:tblLayout w:type="fixed"/>
        <w:tblLook w:firstColumn="1" w:firstRow="1" w:lastColumn="0" w:lastRow="0" w:noHBand="0" w:noVBand="1" w:val="04A0"/>
        <w:tblBorders>
          <w:top w:val="single" w:sz="4" w:color="D5D5D5"/>
          <w:left w:val="single" w:sz="4" w:color="D5D5D5"/>
          <w:bottom w:val="single" w:sz="4" w:color="D5D5D5"/>
          <w:right w:val="single" w:sz="4" w:color="D5D5D5"/>
          <w:insideH w:val="single" w:sz="4" w:color="D5D5D5"/>
          <w:insideV w:val="single" w:sz="4" w:color="D5D5D5"/>
        </w:tblBorders>
        <w:tblCellMar>
          <w:top w:w="65" w:type="dxa"/>
          <w:bottom w:w="65" w:type="dxa"/>
          <w:left w:w="90" w:type="dxa"/>
          <w:right w:w="90" w:type="dxa"/>
        </w:tblCellMar>
      </w:tblPr>
      <w:tblGrid>
        <w:gridCol w:w="4464"/>
        <w:gridCol w:w="5760"/>
      </w:tblGrid>
      <w:tr>
        <w:trPr>
          <w:cantSplit/>
          <w:tblHeader/>
        </w:trPr>
        <w:tc>
          <w:tcPr>
            <w:tcW w:type="dxa" w:w="4464"/>
            <w:vAlign w:val="center"/>
            <w:shd w:fill="E8E8E8"/>
          </w:tcPr>
          <w:p>
            <w:pPr>
              <w:spacing w:after="40" w:before="40" w:line="240" w:lineRule="auto"/>
            </w:pPr>
            <w:r>
              <w:rPr>
                <w:rFonts w:ascii="Calibri" w:hAnsi="Calibri"/>
                <w:b/>
                <w:sz w:val="19"/>
              </w:rPr>
              <w:t>Question</w:t>
            </w:r>
          </w:p>
        </w:tc>
        <w:tc>
          <w:tcPr>
            <w:tcW w:type="dxa" w:w="5760"/>
            <w:vAlign w:val="center"/>
            <w:shd w:fill="E8E8E8"/>
          </w:tcPr>
          <w:p>
            <w:pPr>
              <w:spacing w:after="40" w:before="40" w:line="240" w:lineRule="auto"/>
            </w:pPr>
            <w:r>
              <w:rPr>
                <w:rFonts w:ascii="Calibri" w:hAnsi="Calibri"/>
                <w:b/>
                <w:sz w:val="19"/>
              </w:rPr>
              <w:t>Fonction ou définition à ouvrir</w:t>
            </w:r>
          </w:p>
        </w:tc>
      </w:tr>
      <w:tr>
        <w:trPr>
          <w:cantSplit/>
        </w:trPr>
        <w:tc>
          <w:tcPr>
            <w:tcW w:type="dxa" w:w="4464"/>
            <w:vAlign w:val="center"/>
          </w:tcPr>
          <w:p>
            <w:pPr>
              <w:spacing w:after="40" w:before="40" w:line="240" w:lineRule="auto"/>
            </w:pPr>
            <w:r>
              <w:rPr>
                <w:rFonts w:ascii="Calibri" w:hAnsi="Calibri"/>
                <w:b w:val="0"/>
                <w:sz w:val="19"/>
              </w:rPr>
              <w:t>Où sont les sources et paramètres ?</w:t>
            </w:r>
          </w:p>
        </w:tc>
        <w:tc>
          <w:tcPr>
            <w:tcW w:type="dxa" w:w="5760"/>
            <w:vAlign w:val="center"/>
          </w:tcPr>
          <w:p>
            <w:pPr>
              <w:spacing w:after="40" w:before="40" w:line="240" w:lineRule="auto"/>
            </w:pPr>
            <w:r>
              <w:rPr>
                <w:rFonts w:ascii="Calibri" w:hAnsi="Calibri"/>
                <w:b w:val="0"/>
                <w:sz w:val="19"/>
              </w:rPr>
              <w:t>local_config.py ; data_utils.open_workbooks</w:t>
            </w:r>
          </w:p>
        </w:tc>
      </w:tr>
      <w:tr>
        <w:trPr>
          <w:cantSplit/>
        </w:trPr>
        <w:tc>
          <w:tcPr>
            <w:tcW w:type="dxa" w:w="4464"/>
            <w:vAlign w:val="center"/>
            <w:shd w:fill="F7F7F7"/>
          </w:tcPr>
          <w:p>
            <w:pPr>
              <w:spacing w:after="40" w:before="40" w:line="240" w:lineRule="auto"/>
            </w:pPr>
            <w:r>
              <w:rPr>
                <w:rFonts w:ascii="Calibri" w:hAnsi="Calibri"/>
                <w:b w:val="0"/>
                <w:sz w:val="19"/>
              </w:rPr>
              <w:t>Pourquoi une révision n’est-elle pas reprise ?</w:t>
            </w:r>
          </w:p>
        </w:tc>
        <w:tc>
          <w:tcPr>
            <w:tcW w:type="dxa" w:w="5760"/>
            <w:vAlign w:val="center"/>
            <w:shd w:fill="F7F7F7"/>
          </w:tcPr>
          <w:p>
            <w:pPr>
              <w:spacing w:after="40" w:before="40" w:line="240" w:lineRule="auto"/>
            </w:pPr>
            <w:r>
              <w:rPr>
                <w:rFonts w:ascii="Calibri" w:hAnsi="Calibri"/>
                <w:b w:val="0"/>
                <w:sz w:val="19"/>
              </w:rPr>
              <w:t>data_utils.freeze_history / save_history</w:t>
            </w:r>
          </w:p>
        </w:tc>
      </w:tr>
      <w:tr>
        <w:trPr>
          <w:cantSplit/>
        </w:trPr>
        <w:tc>
          <w:tcPr>
            <w:tcW w:type="dxa" w:w="4464"/>
            <w:vAlign w:val="center"/>
          </w:tcPr>
          <w:p>
            <w:pPr>
              <w:spacing w:after="40" w:before="40" w:line="240" w:lineRule="auto"/>
            </w:pPr>
            <w:r>
              <w:rPr>
                <w:rFonts w:ascii="Calibri" w:hAnsi="Calibri"/>
                <w:b w:val="0"/>
                <w:sz w:val="19"/>
              </w:rPr>
              <w:t>Comment est notée une mesure ?</w:t>
            </w:r>
          </w:p>
        </w:tc>
        <w:tc>
          <w:tcPr>
            <w:tcW w:type="dxa" w:w="5760"/>
            <w:vAlign w:val="center"/>
          </w:tcPr>
          <w:p>
            <w:pPr>
              <w:spacing w:after="40" w:before="40" w:line="240" w:lineRule="auto"/>
            </w:pPr>
            <w:r>
              <w:rPr>
                <w:rFonts w:ascii="Calibri" w:hAnsi="Calibri"/>
                <w:b w:val="0"/>
                <w:sz w:val="19"/>
              </w:rPr>
              <w:t>model_secto.compute_variable_score / compute_historical_score</w:t>
            </w:r>
          </w:p>
        </w:tc>
      </w:tr>
      <w:tr>
        <w:trPr>
          <w:cantSplit/>
        </w:trPr>
        <w:tc>
          <w:tcPr>
            <w:tcW w:type="dxa" w:w="4464"/>
            <w:vAlign w:val="center"/>
            <w:shd w:fill="F7F7F7"/>
          </w:tcPr>
          <w:p>
            <w:pPr>
              <w:spacing w:after="40" w:before="40" w:line="240" w:lineRule="auto"/>
            </w:pPr>
            <w:r>
              <w:rPr>
                <w:rFonts w:ascii="Calibri" w:hAnsi="Calibri"/>
                <w:b w:val="0"/>
                <w:sz w:val="19"/>
              </w:rPr>
              <w:t>Quelles variables entrent dans un pilier ?</w:t>
            </w:r>
          </w:p>
        </w:tc>
        <w:tc>
          <w:tcPr>
            <w:tcW w:type="dxa" w:w="5760"/>
            <w:vAlign w:val="center"/>
            <w:shd w:fill="F7F7F7"/>
          </w:tcPr>
          <w:p>
            <w:pPr>
              <w:spacing w:after="40" w:before="40" w:line="240" w:lineRule="auto"/>
            </w:pPr>
            <w:r>
              <w:rPr>
                <w:rFonts w:ascii="Calibri" w:hAnsi="Calibri"/>
                <w:b w:val="0"/>
                <w:sz w:val="19"/>
              </w:rPr>
              <w:t>local_config : pillar_composition / exclusions ; model_secto.compose_pillar</w:t>
            </w:r>
          </w:p>
        </w:tc>
      </w:tr>
      <w:tr>
        <w:trPr>
          <w:cantSplit/>
        </w:trPr>
        <w:tc>
          <w:tcPr>
            <w:tcW w:type="dxa" w:w="4464"/>
            <w:vAlign w:val="center"/>
          </w:tcPr>
          <w:p>
            <w:pPr>
              <w:spacing w:after="40" w:before="40" w:line="240" w:lineRule="auto"/>
            </w:pPr>
            <w:r>
              <w:rPr>
                <w:rFonts w:ascii="Calibri" w:hAnsi="Calibri"/>
                <w:b w:val="0"/>
                <w:sz w:val="19"/>
              </w:rPr>
              <w:t>Comment sont calculés Momentum et Volatility ?</w:t>
            </w:r>
          </w:p>
        </w:tc>
        <w:tc>
          <w:tcPr>
            <w:tcW w:type="dxa" w:w="5760"/>
            <w:vAlign w:val="center"/>
          </w:tcPr>
          <w:p>
            <w:pPr>
              <w:spacing w:after="40" w:before="40" w:line="240" w:lineRule="auto"/>
            </w:pPr>
            <w:r>
              <w:rPr>
                <w:rFonts w:ascii="Calibri" w:hAnsi="Calibri"/>
                <w:b w:val="0"/>
                <w:sz w:val="19"/>
              </w:rPr>
              <w:t>model_secto.compute_momentum / compute_volatility</w:t>
            </w:r>
          </w:p>
        </w:tc>
      </w:tr>
      <w:tr>
        <w:trPr>
          <w:cantSplit/>
        </w:trPr>
        <w:tc>
          <w:tcPr>
            <w:tcW w:type="dxa" w:w="4464"/>
            <w:vAlign w:val="center"/>
            <w:shd w:fill="F7F7F7"/>
          </w:tcPr>
          <w:p>
            <w:pPr>
              <w:spacing w:after="40" w:before="40" w:line="240" w:lineRule="auto"/>
            </w:pPr>
            <w:r>
              <w:rPr>
                <w:rFonts w:ascii="Calibri" w:hAnsi="Calibri"/>
                <w:b w:val="0"/>
                <w:sz w:val="19"/>
              </w:rPr>
              <w:t>Pourquoi la date finale s’arrête-t-elle ?</w:t>
            </w:r>
          </w:p>
        </w:tc>
        <w:tc>
          <w:tcPr>
            <w:tcW w:type="dxa" w:w="5760"/>
            <w:vAlign w:val="center"/>
            <w:shd w:fill="F7F7F7"/>
          </w:tcPr>
          <w:p>
            <w:pPr>
              <w:spacing w:after="40" w:before="40" w:line="240" w:lineRule="auto"/>
            </w:pPr>
            <w:r>
              <w:rPr>
                <w:rFonts w:ascii="Calibri" w:hAnsi="Calibri"/>
                <w:b w:val="0"/>
                <w:sz w:val="19"/>
              </w:rPr>
              <w:t>data_utils.extend_macro ; model_secto.build_macro_context / compute_final_results</w:t>
            </w:r>
          </w:p>
        </w:tc>
      </w:tr>
      <w:tr>
        <w:trPr>
          <w:cantSplit/>
        </w:trPr>
        <w:tc>
          <w:tcPr>
            <w:tcW w:type="dxa" w:w="4464"/>
            <w:vAlign w:val="center"/>
          </w:tcPr>
          <w:p>
            <w:pPr>
              <w:spacing w:after="40" w:before="40" w:line="240" w:lineRule="auto"/>
            </w:pPr>
            <w:r>
              <w:rPr>
                <w:rFonts w:ascii="Calibri" w:hAnsi="Calibri"/>
                <w:b w:val="0"/>
                <w:sz w:val="19"/>
              </w:rPr>
              <w:t>Comment passent les scores aux votes ?</w:t>
            </w:r>
          </w:p>
        </w:tc>
        <w:tc>
          <w:tcPr>
            <w:tcW w:type="dxa" w:w="5760"/>
            <w:vAlign w:val="center"/>
          </w:tcPr>
          <w:p>
            <w:pPr>
              <w:spacing w:after="40" w:before="40" w:line="240" w:lineRule="auto"/>
            </w:pPr>
            <w:r>
              <w:rPr>
                <w:rFonts w:ascii="Calibri" w:hAnsi="Calibri"/>
                <w:b w:val="0"/>
                <w:sz w:val="19"/>
              </w:rPr>
              <w:t>model_secto.compute_weighted_score / compute_macro_adjusted_score / compute_final_results</w:t>
            </w:r>
          </w:p>
        </w:tc>
      </w:tr>
      <w:tr>
        <w:trPr>
          <w:cantSplit/>
        </w:trPr>
        <w:tc>
          <w:tcPr>
            <w:tcW w:type="dxa" w:w="4464"/>
            <w:vAlign w:val="center"/>
            <w:shd w:fill="F7F7F7"/>
          </w:tcPr>
          <w:p>
            <w:pPr>
              <w:spacing w:after="40" w:before="40" w:line="240" w:lineRule="auto"/>
            </w:pPr>
            <w:r>
              <w:rPr>
                <w:rFonts w:ascii="Calibri" w:hAnsi="Calibri"/>
                <w:b w:val="0"/>
                <w:sz w:val="19"/>
              </w:rPr>
              <w:t>Pourquoi ce secteur est-il Positive ou Negative ?</w:t>
            </w:r>
          </w:p>
        </w:tc>
        <w:tc>
          <w:tcPr>
            <w:tcW w:type="dxa" w:w="5760"/>
            <w:vAlign w:val="center"/>
            <w:shd w:fill="F7F7F7"/>
          </w:tcPr>
          <w:p>
            <w:pPr>
              <w:spacing w:after="40" w:before="40" w:line="240" w:lineRule="auto"/>
            </w:pPr>
            <w:r>
              <w:rPr>
                <w:rFonts w:ascii="Calibri" w:hAnsi="Calibri"/>
                <w:b w:val="0"/>
                <w:sz w:val="19"/>
              </w:rPr>
              <w:t>model_secto.select_top_worst ; paramètres n_top / n_worst</w:t>
            </w:r>
          </w:p>
        </w:tc>
      </w:tr>
      <w:tr>
        <w:trPr>
          <w:cantSplit/>
        </w:trPr>
        <w:tc>
          <w:tcPr>
            <w:tcW w:type="dxa" w:w="4464"/>
            <w:vAlign w:val="center"/>
          </w:tcPr>
          <w:p>
            <w:pPr>
              <w:spacing w:after="40" w:before="40" w:line="240" w:lineRule="auto"/>
            </w:pPr>
            <w:r>
              <w:rPr>
                <w:rFonts w:ascii="Calibri" w:hAnsi="Calibri"/>
                <w:b w:val="0"/>
                <w:sz w:val="19"/>
              </w:rPr>
              <w:t>Qui remplit chaque cellule d’Output ?</w:t>
            </w:r>
          </w:p>
        </w:tc>
        <w:tc>
          <w:tcPr>
            <w:tcW w:type="dxa" w:w="5760"/>
            <w:vAlign w:val="center"/>
          </w:tcPr>
          <w:p>
            <w:pPr>
              <w:spacing w:after="40" w:before="40" w:line="240" w:lineRule="auto"/>
            </w:pPr>
            <w:r>
              <w:rPr>
                <w:rFonts w:ascii="Calibri" w:hAnsi="Calibri"/>
                <w:b w:val="0"/>
                <w:sz w:val="19"/>
              </w:rPr>
              <w:t>excel_output.build_output / output_cell / output_layout</w:t>
            </w:r>
          </w:p>
        </w:tc>
      </w:tr>
      <w:tr>
        <w:trPr>
          <w:cantSplit/>
        </w:trPr>
        <w:tc>
          <w:tcPr>
            <w:tcW w:type="dxa" w:w="4464"/>
            <w:vAlign w:val="center"/>
            <w:shd w:fill="F7F7F7"/>
          </w:tcPr>
          <w:p>
            <w:pPr>
              <w:spacing w:after="40" w:before="40" w:line="240" w:lineRule="auto"/>
            </w:pPr>
            <w:r>
              <w:rPr>
                <w:rFonts w:ascii="Calibri" w:hAnsi="Calibri"/>
                <w:b w:val="0"/>
                <w:sz w:val="19"/>
              </w:rPr>
              <w:t>Qui conserve les entrées et les graphiques ?</w:t>
            </w:r>
          </w:p>
        </w:tc>
        <w:tc>
          <w:tcPr>
            <w:tcW w:type="dxa" w:w="5760"/>
            <w:vAlign w:val="center"/>
            <w:shd w:fill="F7F7F7"/>
          </w:tcPr>
          <w:p>
            <w:pPr>
              <w:spacing w:after="40" w:before="40" w:line="240" w:lineRule="auto"/>
            </w:pPr>
            <w:r>
              <w:rPr>
                <w:rFonts w:ascii="Calibri" w:hAnsi="Calibri"/>
                <w:b w:val="0"/>
                <w:sz w:val="19"/>
              </w:rPr>
              <w:t>data_utils.preserve_inputs ; excel_output.link_dashboard / fill_workbook</w:t>
            </w:r>
          </w:p>
        </w:tc>
      </w:tr>
      <w:tr>
        <w:trPr>
          <w:cantSplit/>
        </w:trPr>
        <w:tc>
          <w:tcPr>
            <w:tcW w:type="dxa" w:w="4464"/>
            <w:vAlign w:val="center"/>
          </w:tcPr>
          <w:p>
            <w:pPr>
              <w:spacing w:after="40" w:before="40" w:line="240" w:lineRule="auto"/>
            </w:pPr>
            <w:r>
              <w:rPr>
                <w:rFonts w:ascii="Calibri" w:hAnsi="Calibri"/>
                <w:b w:val="0"/>
                <w:sz w:val="19"/>
              </w:rPr>
              <w:t>Comment sont calculées les performances ?</w:t>
            </w:r>
          </w:p>
        </w:tc>
        <w:tc>
          <w:tcPr>
            <w:tcW w:type="dxa" w:w="5760"/>
            <w:vAlign w:val="center"/>
          </w:tcPr>
          <w:p>
            <w:pPr>
              <w:spacing w:after="40" w:before="40" w:line="240" w:lineRule="auto"/>
            </w:pPr>
            <w:r>
              <w:rPr>
                <w:rFonts w:ascii="Calibri" w:hAnsi="Calibri"/>
                <w:b w:val="0"/>
                <w:sz w:val="19"/>
              </w:rPr>
              <w:t>excel_output.compute_portfolio ; research_secto.backtest_score pour la recherche</w:t>
            </w:r>
          </w:p>
        </w:tc>
      </w:tr>
    </w:tbl>
    <w:p>
      <w:pPr>
        <w:spacing w:after="0"/>
      </w:pPr>
      <w:r>
        <w:rPr>
          <w:b w:val="0"/>
        </w:rPr>
      </w:r>
    </w:p>
    <w:p>
      <w:pPr>
        <w:pStyle w:val="Heading2"/>
      </w:pPr>
      <w:r>
        <w:t>Une modification de méthode se vérifie sur une copie</w:t>
      </w:r>
    </w:p>
    <w:p>
      <w:r>
        <w:rPr>
          <w:b w:val="0"/>
        </w:rPr>
        <w:t>Conserver la version du code, la configuration, les sources et data_history.xlsx utilisés. Changer une règle à un seul endroit, puis comparer les mesures, sous-scores, piliers, rangs et recommandations sur des dates communes. Une date de comparaison seule ne suffit pas si l’historique d’entrée a changé.</w:t>
      </w:r>
    </w:p>
    <w:p>
      <w:r>
        <w:rPr>
          <w:b w:val="0"/>
        </w:rPr>
        <w:t>Les notebooks audit_modele_eu.ipynb et audit_modele_us.ipynb permettent une lecture détaillée du calcul. Les essais de composition via SectorModel restent distincts de la configuration de production utilisée par Actualiser.bat.</w:t>
      </w:r>
    </w:p>
    <w:p>
      <w:pPr>
        <w:pStyle w:val="Heading2"/>
      </w:pPr>
      <w:r>
        <w:t>Portée de ce guide</w:t>
      </w:r>
    </w:p>
    <w:p>
      <w:r>
        <w:rPr>
          <w:b w:val="0"/>
        </w:rPr>
        <w:t>Le document décrit le comportement du code et des classeurs vérifiés à sa date de version. Les différences entre EU et US, les fenêtres inclusives et les règles sur les données absentes sont des comportements observés dans cette version. Toute évolution de ces règles doit être répercutée ici.</w:t>
      </w:r>
    </w:p>
    <w:p>
      <w:pPr>
        <w:spacing w:before="100" w:after="0"/>
      </w:pPr>
      <w:r>
        <w:rPr>
          <w:b w:val="0"/>
          <w:color w:val="505050"/>
          <w:sz w:val="18"/>
        </w:rPr>
        <w:t>Source : Fichiers Python, notebooks et cellules source cités dans les pages précédentes. Guide vérifié le 26/10/2026.</w:t>
      </w:r>
    </w:p>
    <w:sectPr w:rsidR="00FC693F" w:rsidRPr="0006063C" w:rsidSect="00034616">
      <w:footerReference w:type="default" r:id="rId9"/>
      <w:pgSz w:w="12240" w:h="15840"/>
      <w:pgMar w:top="936" w:right="1008" w:bottom="936" w:left="1008"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Modèle sectoriel EU / US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2"/>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80" w:after="140"/>
    </w:pPr>
    <w:rPr>
      <w:rFonts w:asciiTheme="majorHAnsi" w:eastAsiaTheme="majorEastAsia" w:hAnsiTheme="majorHAnsi" w:cstheme="majorBidi" w:ascii="Calibri" w:hAnsi="Calibri"/>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4" w:lineRule="auto"/>
    </w:pPr>
    <w:rPr>
      <w:rFonts w:ascii="Calibri" w:hAnsi="Calibri"/>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4"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4" w:lineRule="auto"/>
      <w:contextualSpacing/>
    </w:pPr>
    <w:rPr>
      <w:rFonts w:ascii="Calibri" w:hAnsi="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bCs/>
      <w:color w:val="4B4B4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맑은 고딕"/>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données, codes et règles de calcul</dc:subject>
  <dc:creator/>
  <cp:keywords>EU, US, production, modèle sectoriel, pipeline</cp:keywords>
  <dc:description/>
  <cp:lastModifiedBy/>
  <cp:revision>1</cp:revision>
  <dcterms:created xsi:type="dcterms:W3CDTF">2013-12-23T23:15:00Z</dcterms:created>
  <dcterms:modified xsi:type="dcterms:W3CDTF">2013-12-23T23:15:00Z</dcterms:modified>
  <cp:category/>
</cp:coreProperties>
</file>