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18646E"/>
          <w:sz w:val="16"/>
        </w:rPr>
        <w:t>RECHERCHE QUANTITATIVE  /  ROTATION SECTORIELLE</w:t>
      </w:r>
    </w:p>
    <w:p>
      <w:pPr>
        <w:pStyle w:val="Title"/>
      </w:pPr>
      <w:r>
        <w:t>Modèle sectoriel EU / US</w:t>
      </w:r>
    </w:p>
    <w:p>
      <w:pPr>
        <w:pStyle w:val="Subtitle"/>
      </w:pPr>
      <w:r>
        <w:t>Guide de production et principes de calcul</w:t>
      </w:r>
    </w:p>
    <w:p>
      <w:pPr>
        <w:pBdr>
          <w:bottom w:val="single" w:sz="8" w:color="BCD2D6"/>
        </w:pBdr>
      </w:pPr>
      <w:r>
        <w:rPr>
          <w:color w:val="626D79"/>
          <w:sz w:val="17"/>
        </w:rPr>
        <w:t>Octobre 2026  •  Documentation fonctionnelle</w:t>
      </w:r>
    </w:p>
    <w:p>
      <w:r>
        <w:t>Le modèle classe les secteurs en Europe et aux États-Unis et produit chaque mois des recommandations Positive, Neutral et Negative. Les données sont préparées dans Excel, les calculs dans Python et les résultats présentés dans les classeurs EU et US.</w:t>
      </w:r>
    </w:p>
    <w:p>
      <w:pPr>
        <w:jc w:val="center"/>
      </w:pPr>
      <w:r>
        <w:rPr>
          <w:b/>
          <w:color w:val="18646E"/>
          <w:sz w:val="18"/>
        </w:rPr>
        <w:t>Sources Excel  →  Historique mensuel  →  Scores et votes  →  Dashboard et exports</w:t>
      </w:r>
    </w:p>
    <w:p>
      <w:pPr>
        <w:pStyle w:val="Heading1"/>
      </w:pPr>
      <w:r>
        <w:t>1. Produire le mois</w:t>
      </w:r>
    </w:p>
    <w:p>
      <w:pPr>
        <w:pStyle w:val="StepText"/>
      </w:pPr>
      <w:r>
        <w:rPr>
          <w:b/>
          <w:color w:val="183049"/>
        </w:rPr>
        <w:t xml:space="preserve">1.  Actualiser les données.  </w:t>
      </w:r>
      <w:r>
        <w:t>Rafraîchir les séries FactSet et Bloomberg dans les classeurs EU/US, ainsi que maj cycle macro2.xlsx. Compléter les poids sectoriels dans Bench et le taux US à 10 ans dans Cycle macro.</w:t>
      </w:r>
    </w:p>
    <w:p>
      <w:pPr>
        <w:pStyle w:val="StepText"/>
      </w:pPr>
      <w:r>
        <w:rPr>
          <w:b/>
          <w:color w:val="183049"/>
        </w:rPr>
        <w:t xml:space="preserve">2.  Enregistrer les entrées.  </w:t>
      </w:r>
      <w:r>
        <w:t>Enregistrer les résultats recalculés, puis fermer les deux classeurs sectoriels, le fichier macro et data_history.xlsx.</w:t>
      </w:r>
    </w:p>
    <w:p>
      <w:pPr>
        <w:pStyle w:val="StepText"/>
      </w:pPr>
      <w:r>
        <w:rPr>
          <w:b/>
          <w:color w:val="183049"/>
        </w:rPr>
        <w:t xml:space="preserve">3.  Lancer le modèle.  </w:t>
      </w:r>
      <w:r>
        <w:t>Exécuter Actualiser.bat, ou python actualiser_excel.py. Le programme calcule les deux marchés, remplit Output, complète Reco_histo et actualise les graphiques.</w:t>
      </w:r>
    </w:p>
    <w:p>
      <w:pPr>
        <w:pStyle w:val="StepText"/>
      </w:pPr>
      <w:r>
        <w:rPr>
          <w:b/>
          <w:color w:val="183049"/>
        </w:rPr>
        <w:t xml:space="preserve">4.  Lire et archiver.  </w:t>
      </w:r>
      <w:r>
        <w:t>Consulter output/actualisation.txt, vérifier les dates et les recommandations dans le Dashboard, puis conserver la version diffusée avec les sources mensuelles.</w:t>
      </w:r>
    </w:p>
    <w:p>
      <w:r>
        <w:t>En cas d’écart, consulter d’abord la date des sources macro et fondamentales, puis le taux. Un n.a. renvoie à la mesure source. Pour un fichier Excel en lecture seule, fermer le classeur concerné et relancer.</w:t>
      </w:r>
    </w:p>
    <w:p>
      <w:r>
        <w:t>La dernière sauvegarde automatique est placée dans output/avant_actualisation. Les archives des mois validés sont conservées séparément.</w:t>
      </w:r>
    </w:p>
    <w:p>
      <w:pPr>
        <w:pStyle w:val="Heading1"/>
      </w:pPr>
      <w:r>
        <w:t>2. Données et fonctionnement du pipeline</w:t>
      </w:r>
    </w:p>
    <w:tbl>
      <w:tblPr>
        <w:tblStyle w:val="TableGrid"/>
        <w:tblW w:type="auto" w:w="0"/>
        <w:jc w:val="center"/>
        <w:tblLayout w:type="fixed"/>
        <w:tblLook w:firstColumn="1" w:firstRow="1" w:lastColumn="0" w:lastRow="0" w:noHBand="0" w:noVBand="1" w:val="04A0"/>
      </w:tblPr>
      <w:tblGrid>
        <w:gridCol w:w="4791"/>
        <w:gridCol w:w="4791"/>
      </w:tblGrid>
      <w:tr>
        <w:trPr>
          <w:tblHeader/>
          <w:cantSplit/>
        </w:trPr>
        <w:tc>
          <w:tcPr>
            <w:tcW w:type="dxa" w:w="3033"/>
            <w:vAlign w:val="center"/>
            <w:shd w:fill="183049"/>
            <w:tcMar>
              <w:top w:w="85" w:type="dxa"/>
              <w:bottom w:w="85" w:type="dxa"/>
              <w:left w:w="110" w:type="dxa"/>
              <w:right w:w="110" w:type="dxa"/>
            </w:tcMar>
          </w:tcPr>
          <w:p>
            <w:pPr>
              <w:pStyle w:val="TableNormal"/>
            </w:pPr>
            <w:r>
              <w:rPr>
                <w:b/>
                <w:color w:val="FFFFFF"/>
                <w:sz w:val="17"/>
              </w:rPr>
              <w:t>Source</w:t>
            </w:r>
          </w:p>
        </w:tc>
        <w:tc>
          <w:tcPr>
            <w:tcW w:type="dxa" w:w="6548"/>
            <w:vAlign w:val="center"/>
            <w:shd w:fill="183049"/>
            <w:tcMar>
              <w:top w:w="85" w:type="dxa"/>
              <w:bottom w:w="85" w:type="dxa"/>
              <w:left w:w="110" w:type="dxa"/>
              <w:right w:w="110" w:type="dxa"/>
            </w:tcMar>
          </w:tcPr>
          <w:p>
            <w:pPr>
              <w:pStyle w:val="TableNormal"/>
            </w:pPr>
            <w:r>
              <w:rPr>
                <w:b/>
                <w:color w:val="FFFFFF"/>
                <w:sz w:val="17"/>
              </w:rPr>
              <w:t>Rôle</w:t>
            </w:r>
          </w:p>
        </w:tc>
      </w:tr>
      <w:tr>
        <w:trPr>
          <w:cantSplit/>
        </w:trPr>
        <w:tc>
          <w:tcPr>
            <w:tcW w:type="dxa" w:w="3033"/>
            <w:vAlign w:val="center"/>
            <w:tcMar>
              <w:top w:w="85" w:type="dxa"/>
              <w:bottom w:w="85" w:type="dxa"/>
              <w:left w:w="110" w:type="dxa"/>
              <w:right w:w="110" w:type="dxa"/>
            </w:tcMar>
          </w:tcPr>
          <w:p>
            <w:pPr>
              <w:pStyle w:val="TableNormal"/>
            </w:pPr>
            <w:r>
              <w:rPr>
                <w:b/>
              </w:rPr>
              <w:t>Score_Sectoriel_EU_NEW.xlsm et Score_Sectoriel_US_NEW.xlsm</w:t>
            </w:r>
          </w:p>
        </w:tc>
        <w:tc>
          <w:tcPr>
            <w:tcW w:type="dxa" w:w="6548"/>
            <w:vAlign w:val="center"/>
            <w:tcMar>
              <w:top w:w="85" w:type="dxa"/>
              <w:bottom w:w="85" w:type="dxa"/>
              <w:left w:w="110" w:type="dxa"/>
              <w:right w:w="110" w:type="dxa"/>
            </w:tcMar>
          </w:tcPr>
          <w:p>
            <w:pPr>
              <w:pStyle w:val="TableNormal"/>
            </w:pPr>
            <w:r>
              <w:t>Returns_EQ pour les indices ; Leverage_FMA, Margin_FMA, Valuation_FMA_hist et Growth_FMA pour les données fondamentales ; MOM_FMA pour les prix et révisions. Bench contient les poids ; Cycle macro contient notamment le taux US 10 ans.</w:t>
            </w:r>
          </w:p>
        </w:tc>
      </w:tr>
      <w:tr>
        <w:trPr>
          <w:cantSplit/>
        </w:trPr>
        <w:tc>
          <w:tcPr>
            <w:tcW w:type="dxa" w:w="3033"/>
            <w:vAlign w:val="center"/>
            <w:tcMar>
              <w:top w:w="85" w:type="dxa"/>
              <w:bottom w:w="85" w:type="dxa"/>
              <w:left w:w="110" w:type="dxa"/>
              <w:right w:w="110" w:type="dxa"/>
            </w:tcMar>
            <w:shd w:fill="F3F7F9"/>
          </w:tcPr>
          <w:p>
            <w:pPr>
              <w:pStyle w:val="TableNormal"/>
            </w:pPr>
            <w:r>
              <w:rPr>
                <w:b/>
              </w:rPr>
              <w:t>maj cycle macro2.xlsx</w:t>
            </w:r>
          </w:p>
        </w:tc>
        <w:tc>
          <w:tcPr>
            <w:tcW w:type="dxa" w:w="6548"/>
            <w:vAlign w:val="center"/>
            <w:tcMar>
              <w:top w:w="85" w:type="dxa"/>
              <w:bottom w:w="85" w:type="dxa"/>
              <w:left w:w="110" w:type="dxa"/>
              <w:right w:w="110" w:type="dxa"/>
            </w:tcMar>
            <w:shd w:fill="F3F7F9"/>
          </w:tcPr>
          <w:p>
            <w:pPr>
              <w:pStyle w:val="TableNormal"/>
            </w:pPr>
            <w:r>
              <w:t>Scores et phases du cycle pour EU et US. Les composantes amont sont calculées et enregistrées dans Excel.</w:t>
            </w:r>
          </w:p>
        </w:tc>
      </w:tr>
      <w:tr>
        <w:trPr>
          <w:cantSplit/>
        </w:trPr>
        <w:tc>
          <w:tcPr>
            <w:tcW w:type="dxa" w:w="3033"/>
            <w:vAlign w:val="center"/>
            <w:tcMar>
              <w:top w:w="85" w:type="dxa"/>
              <w:bottom w:w="85" w:type="dxa"/>
              <w:left w:w="110" w:type="dxa"/>
              <w:right w:w="110" w:type="dxa"/>
            </w:tcMar>
          </w:tcPr>
          <w:p>
            <w:pPr>
              <w:pStyle w:val="TableNormal"/>
            </w:pPr>
            <w:r>
              <w:rPr>
                <w:b/>
              </w:rPr>
              <w:t>data_history.xlsx · Historique_data</w:t>
            </w:r>
          </w:p>
        </w:tc>
        <w:tc>
          <w:tcPr>
            <w:tcW w:type="dxa" w:w="6548"/>
            <w:vAlign w:val="center"/>
            <w:tcMar>
              <w:top w:w="85" w:type="dxa"/>
              <w:bottom w:w="85" w:type="dxa"/>
              <w:left w:w="110" w:type="dxa"/>
              <w:right w:w="110" w:type="dxa"/>
            </w:tcMar>
          </w:tcPr>
          <w:p>
            <w:pPr>
              <w:pStyle w:val="TableNormal"/>
            </w:pPr>
            <w:r>
              <w:t>Historique mensuel : première observation conservée par série et par mois.</w:t>
            </w:r>
          </w:p>
        </w:tc>
      </w:tr>
      <w:tr>
        <w:trPr>
          <w:cantSplit/>
        </w:trPr>
        <w:tc>
          <w:tcPr>
            <w:tcW w:type="dxa" w:w="3033"/>
            <w:vAlign w:val="center"/>
            <w:tcMar>
              <w:top w:w="85" w:type="dxa"/>
              <w:bottom w:w="85" w:type="dxa"/>
              <w:left w:w="110" w:type="dxa"/>
              <w:right w:w="110" w:type="dxa"/>
            </w:tcMar>
            <w:shd w:fill="F3F7F9"/>
          </w:tcPr>
          <w:p>
            <w:pPr>
              <w:pStyle w:val="TableNormal"/>
            </w:pPr>
            <w:r>
              <w:rPr>
                <w:b/>
              </w:rPr>
              <w:t>local_config.py</w:t>
            </w:r>
          </w:p>
        </w:tc>
        <w:tc>
          <w:tcPr>
            <w:tcW w:type="dxa" w:w="6548"/>
            <w:vAlign w:val="center"/>
            <w:tcMar>
              <w:top w:w="85" w:type="dxa"/>
              <w:bottom w:w="85" w:type="dxa"/>
              <w:left w:w="110" w:type="dxa"/>
              <w:right w:w="110" w:type="dxa"/>
            </w:tcMar>
            <w:shd w:fill="F3F7F9"/>
          </w:tcPr>
          <w:p>
            <w:pPr>
              <w:pStyle w:val="TableNormal"/>
            </w:pPr>
            <w:r>
              <w:t>Univers sectoriels, variables, fenêtres, compositions des piliers, sources et pondérations.</w:t>
            </w:r>
          </w:p>
        </w:tc>
      </w:tr>
    </w:tbl>
    <w:p>
      <w:pPr>
        <w:spacing w:after="0"/>
      </w:pPr>
    </w:p>
    <w:p>
      <w:pPr>
        <w:pStyle w:val="Heading2"/>
      </w:pPr>
      <w:r>
        <w:t>Calcul et mise à jour Excel</w:t>
      </w:r>
    </w:p>
    <w:p>
      <w:r>
        <w:t>data_utils.py lit les séries et gère l’historique ; model_secto.py calcule les sous-scores, les piliers, les rangs, le contexte macro et les recommandations ; excel_output.py écrit les résultats dans les classeurs et crée les exports.</w:t>
      </w:r>
    </w:p>
    <w:p>
      <w:r>
        <w:t>Les fichiers XLSM sont aussi les modèles de présentation : Output est actualisé en valeurs, tandis que le Dashboard conserve ses formules, formats et graphiques. Reco_histo reçoit les nouveaux mois de signal. Le fichier reco_secto_facto.xlsx détaille en parallèle les déviations par supersecteur à la date d’allocation, avec un total nul par marché.</w:t>
      </w:r>
    </w:p>
    <w:p>
      <w:r>
        <w:t>L’historique des entrées dans data_history.xlsx et l’historique des recommandations dans Reco_histo jouent deux rôles distincts.</w:t>
      </w:r>
    </w:p>
    <w:p>
      <w:pPr>
        <w:pStyle w:val="Heading1"/>
      </w:pPr>
      <w:r>
        <w:t>3. Lire les résultats</w:t>
      </w:r>
    </w:p>
    <w:tbl>
      <w:tblPr>
        <w:tblStyle w:val="TableGrid"/>
        <w:tblW w:type="auto" w:w="0"/>
        <w:jc w:val="center"/>
        <w:tblLayout w:type="fixed"/>
        <w:tblLook w:firstColumn="1" w:firstRow="1" w:lastColumn="0" w:lastRow="0" w:noHBand="0" w:noVBand="1" w:val="04A0"/>
      </w:tblPr>
      <w:tblGrid>
        <w:gridCol w:w="4791"/>
        <w:gridCol w:w="4791"/>
      </w:tblGrid>
      <w:tr>
        <w:trPr>
          <w:tblHeader/>
          <w:cantSplit/>
        </w:trPr>
        <w:tc>
          <w:tcPr>
            <w:tcW w:type="dxa" w:w="2296"/>
            <w:vAlign w:val="center"/>
            <w:shd w:fill="183049"/>
            <w:tcMar>
              <w:top w:w="85" w:type="dxa"/>
              <w:bottom w:w="85" w:type="dxa"/>
              <w:left w:w="110" w:type="dxa"/>
              <w:right w:w="110" w:type="dxa"/>
            </w:tcMar>
          </w:tcPr>
          <w:p>
            <w:pPr>
              <w:pStyle w:val="TableNormal"/>
            </w:pPr>
            <w:r>
              <w:rPr>
                <w:b/>
                <w:color w:val="FFFFFF"/>
                <w:sz w:val="17"/>
              </w:rPr>
              <w:t>Vue</w:t>
            </w:r>
          </w:p>
        </w:tc>
        <w:tc>
          <w:tcPr>
            <w:tcW w:type="dxa" w:w="7285"/>
            <w:vAlign w:val="center"/>
            <w:shd w:fill="183049"/>
            <w:tcMar>
              <w:top w:w="85" w:type="dxa"/>
              <w:bottom w:w="85" w:type="dxa"/>
              <w:left w:w="110" w:type="dxa"/>
              <w:right w:w="110" w:type="dxa"/>
            </w:tcMar>
          </w:tcPr>
          <w:p>
            <w:pPr>
              <w:pStyle w:val="TableNormal"/>
            </w:pPr>
            <w:r>
              <w:rPr>
                <w:b/>
                <w:color w:val="FFFFFF"/>
                <w:sz w:val="17"/>
              </w:rPr>
              <w:t>Contenu</w:t>
            </w:r>
          </w:p>
        </w:tc>
      </w:tr>
      <w:tr>
        <w:trPr>
          <w:cantSplit/>
        </w:trPr>
        <w:tc>
          <w:tcPr>
            <w:tcW w:type="dxa" w:w="2296"/>
            <w:vAlign w:val="center"/>
            <w:tcMar>
              <w:top w:w="85" w:type="dxa"/>
              <w:bottom w:w="85" w:type="dxa"/>
              <w:left w:w="110" w:type="dxa"/>
              <w:right w:w="110" w:type="dxa"/>
            </w:tcMar>
          </w:tcPr>
          <w:p>
            <w:pPr>
              <w:pStyle w:val="TableNormal"/>
            </w:pPr>
            <w:r>
              <w:rPr>
                <w:b/>
              </w:rPr>
              <w:t>Dashboard</w:t>
            </w:r>
          </w:p>
        </w:tc>
        <w:tc>
          <w:tcPr>
            <w:tcW w:type="dxa" w:w="7285"/>
            <w:vAlign w:val="center"/>
            <w:tcMar>
              <w:top w:w="85" w:type="dxa"/>
              <w:bottom w:w="85" w:type="dxa"/>
              <w:left w:w="110" w:type="dxa"/>
              <w:right w:w="110" w:type="dxa"/>
            </w:tcMar>
          </w:tcPr>
          <w:p>
            <w:pPr>
              <w:pStyle w:val="TableNormal"/>
            </w:pPr>
            <w:r>
              <w:t>Scores, recommandations, mini-historiques et graphiques de performances.</w:t>
            </w:r>
          </w:p>
        </w:tc>
      </w:tr>
      <w:tr>
        <w:trPr>
          <w:cantSplit/>
        </w:trPr>
        <w:tc>
          <w:tcPr>
            <w:tcW w:type="dxa" w:w="2296"/>
            <w:vAlign w:val="center"/>
            <w:tcMar>
              <w:top w:w="85" w:type="dxa"/>
              <w:bottom w:w="85" w:type="dxa"/>
              <w:left w:w="110" w:type="dxa"/>
              <w:right w:w="110" w:type="dxa"/>
            </w:tcMar>
            <w:shd w:fill="F3F7F9"/>
          </w:tcPr>
          <w:p>
            <w:pPr>
              <w:pStyle w:val="TableNormal"/>
            </w:pPr>
            <w:r>
              <w:rPr>
                <w:b/>
              </w:rPr>
              <w:t>Output</w:t>
            </w:r>
          </w:p>
        </w:tc>
        <w:tc>
          <w:tcPr>
            <w:tcW w:type="dxa" w:w="7285"/>
            <w:vAlign w:val="center"/>
            <w:tcMar>
              <w:top w:w="85" w:type="dxa"/>
              <w:bottom w:w="85" w:type="dxa"/>
              <w:left w:w="110" w:type="dxa"/>
              <w:right w:w="110" w:type="dxa"/>
            </w:tcMar>
            <w:shd w:fill="F3F7F9"/>
          </w:tcPr>
          <w:p>
            <w:pPr>
              <w:pStyle w:val="TableNormal"/>
            </w:pPr>
            <w:r>
              <w:t>Contexte du mois, variables brutes et scores, recommandations récentes, historiques détaillés et séries de performance.</w:t>
            </w:r>
          </w:p>
        </w:tc>
      </w:tr>
      <w:tr>
        <w:trPr>
          <w:cantSplit/>
        </w:trPr>
        <w:tc>
          <w:tcPr>
            <w:tcW w:type="dxa" w:w="2296"/>
            <w:vAlign w:val="center"/>
            <w:tcMar>
              <w:top w:w="85" w:type="dxa"/>
              <w:bottom w:w="85" w:type="dxa"/>
              <w:left w:w="110" w:type="dxa"/>
              <w:right w:w="110" w:type="dxa"/>
            </w:tcMar>
          </w:tcPr>
          <w:p>
            <w:pPr>
              <w:pStyle w:val="TableNormal"/>
            </w:pPr>
            <w:r>
              <w:rPr>
                <w:b/>
              </w:rPr>
              <w:t>Reco_histo</w:t>
            </w:r>
          </w:p>
        </w:tc>
        <w:tc>
          <w:tcPr>
            <w:tcW w:type="dxa" w:w="7285"/>
            <w:vAlign w:val="center"/>
            <w:tcMar>
              <w:top w:w="85" w:type="dxa"/>
              <w:bottom w:w="85" w:type="dxa"/>
              <w:left w:w="110" w:type="dxa"/>
              <w:right w:w="110" w:type="dxa"/>
            </w:tcMar>
          </w:tcPr>
          <w:p>
            <w:pPr>
              <w:pStyle w:val="TableNormal"/>
            </w:pPr>
            <w:r>
              <w:t>Recommandations archivées avec leur date de signal.</w:t>
            </w:r>
          </w:p>
        </w:tc>
      </w:tr>
      <w:tr>
        <w:trPr>
          <w:cantSplit/>
        </w:trPr>
        <w:tc>
          <w:tcPr>
            <w:tcW w:type="dxa" w:w="2296"/>
            <w:vAlign w:val="center"/>
            <w:tcMar>
              <w:top w:w="85" w:type="dxa"/>
              <w:bottom w:w="85" w:type="dxa"/>
              <w:left w:w="110" w:type="dxa"/>
              <w:right w:w="110" w:type="dxa"/>
            </w:tcMar>
            <w:shd w:fill="F3F7F9"/>
          </w:tcPr>
          <w:p>
            <w:pPr>
              <w:pStyle w:val="TableNormal"/>
            </w:pPr>
            <w:r>
              <w:rPr>
                <w:b/>
              </w:rPr>
              <w:t>output/</w:t>
            </w:r>
          </w:p>
        </w:tc>
        <w:tc>
          <w:tcPr>
            <w:tcW w:type="dxa" w:w="7285"/>
            <w:vAlign w:val="center"/>
            <w:tcMar>
              <w:top w:w="85" w:type="dxa"/>
              <w:bottom w:w="85" w:type="dxa"/>
              <w:left w:w="110" w:type="dxa"/>
              <w:right w:w="110" w:type="dxa"/>
            </w:tcMar>
            <w:shd w:fill="F3F7F9"/>
          </w:tcPr>
          <w:p>
            <w:pPr>
              <w:pStyle w:val="TableNormal"/>
            </w:pPr>
            <w:r>
              <w:t>*_output.xlsx, tableaux Excel de recommandations et de performances, ainsi que actualisation.txt.</w:t>
            </w:r>
          </w:p>
        </w:tc>
      </w:tr>
    </w:tbl>
    <w:p>
      <w:pPr>
        <w:spacing w:after="0"/>
      </w:pPr>
    </w:p>
    <w:p>
      <w:r>
        <w:t>La date du signal correspond à la fin du mois étudié ; l’allocation affichée s’applique au mois suivant. L’historique récent d’Output porte sur 15 mois, et les mini-historiques présentent 60 mois de données.</w:t>
      </w:r>
    </w:p>
    <w:p>
      <w:pPr>
        <w:pStyle w:val="Heading2"/>
      </w:pPr>
      <w:r>
        <w:t>Benchmarks</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1134"/>
            <w:vAlign w:val="center"/>
            <w:shd w:fill="183049"/>
            <w:tcMar>
              <w:top w:w="85" w:type="dxa"/>
              <w:bottom w:w="85" w:type="dxa"/>
              <w:left w:w="110" w:type="dxa"/>
              <w:right w:w="110" w:type="dxa"/>
            </w:tcMar>
          </w:tcPr>
          <w:p>
            <w:pPr>
              <w:pStyle w:val="TableNormal"/>
            </w:pPr>
            <w:r>
              <w:rPr>
                <w:b/>
                <w:color w:val="FFFFFF"/>
                <w:sz w:val="17"/>
              </w:rPr>
              <w:t>Marché</w:t>
            </w:r>
          </w:p>
        </w:tc>
        <w:tc>
          <w:tcPr>
            <w:tcW w:type="dxa" w:w="4167"/>
            <w:vAlign w:val="center"/>
            <w:shd w:fill="183049"/>
            <w:tcMar>
              <w:top w:w="85" w:type="dxa"/>
              <w:bottom w:w="85" w:type="dxa"/>
              <w:left w:w="110" w:type="dxa"/>
              <w:right w:w="110" w:type="dxa"/>
            </w:tcMar>
          </w:tcPr>
          <w:p>
            <w:pPr>
              <w:pStyle w:val="TableNormal"/>
            </w:pPr>
            <w:r>
              <w:rPr>
                <w:b/>
                <w:color w:val="FFFFFF"/>
                <w:sz w:val="17"/>
              </w:rPr>
              <w:t>Rendements</w:t>
            </w:r>
          </w:p>
        </w:tc>
        <w:tc>
          <w:tcPr>
            <w:tcW w:type="dxa" w:w="4280"/>
            <w:vAlign w:val="center"/>
            <w:shd w:fill="183049"/>
            <w:tcMar>
              <w:top w:w="85" w:type="dxa"/>
              <w:bottom w:w="85" w:type="dxa"/>
              <w:left w:w="110" w:type="dxa"/>
              <w:right w:w="110" w:type="dxa"/>
            </w:tcMar>
          </w:tcPr>
          <w:p>
            <w:pPr>
              <w:pStyle w:val="TableNormal"/>
            </w:pPr>
            <w:r>
              <w:rPr>
                <w:b/>
                <w:color w:val="FFFFFF"/>
                <w:sz w:val="17"/>
              </w:rPr>
              <w:t>Libellé des poids Bench</w:t>
            </w:r>
          </w:p>
        </w:tc>
      </w:tr>
      <w:tr>
        <w:trPr>
          <w:cantSplit/>
        </w:trPr>
        <w:tc>
          <w:tcPr>
            <w:tcW w:type="dxa" w:w="1134"/>
            <w:vAlign w:val="center"/>
            <w:tcMar>
              <w:top w:w="85" w:type="dxa"/>
              <w:bottom w:w="85" w:type="dxa"/>
              <w:left w:w="110" w:type="dxa"/>
              <w:right w:w="110" w:type="dxa"/>
            </w:tcMar>
          </w:tcPr>
          <w:p>
            <w:pPr>
              <w:pStyle w:val="TableNormal"/>
            </w:pPr>
            <w:r>
              <w:rPr>
                <w:b/>
              </w:rPr>
              <w:t>EU</w:t>
            </w:r>
          </w:p>
        </w:tc>
        <w:tc>
          <w:tcPr>
            <w:tcW w:type="dxa" w:w="4167"/>
            <w:vAlign w:val="center"/>
            <w:tcMar>
              <w:top w:w="85" w:type="dxa"/>
              <w:bottom w:w="85" w:type="dxa"/>
              <w:left w:w="110" w:type="dxa"/>
              <w:right w:w="110" w:type="dxa"/>
            </w:tcMar>
          </w:tcPr>
          <w:p>
            <w:pPr>
              <w:pStyle w:val="TableNormal"/>
            </w:pPr>
            <w:r>
              <w:t>FTSE World Europe</w:t>
            </w:r>
          </w:p>
        </w:tc>
        <w:tc>
          <w:tcPr>
            <w:tcW w:type="dxa" w:w="4280"/>
            <w:vAlign w:val="center"/>
            <w:tcMar>
              <w:top w:w="85" w:type="dxa"/>
              <w:bottom w:w="85" w:type="dxa"/>
              <w:left w:w="110" w:type="dxa"/>
              <w:right w:w="110" w:type="dxa"/>
            </w:tcMar>
          </w:tcPr>
          <w:p>
            <w:pPr>
              <w:pStyle w:val="TableNormal"/>
            </w:pPr>
            <w:r>
              <w:t>MSCI_ACWI_Europe</w:t>
            </w:r>
          </w:p>
        </w:tc>
      </w:tr>
      <w:tr>
        <w:trPr>
          <w:cantSplit/>
        </w:trPr>
        <w:tc>
          <w:tcPr>
            <w:tcW w:type="dxa" w:w="1134"/>
            <w:vAlign w:val="center"/>
            <w:tcMar>
              <w:top w:w="85" w:type="dxa"/>
              <w:bottom w:w="85" w:type="dxa"/>
              <w:left w:w="110" w:type="dxa"/>
              <w:right w:w="110" w:type="dxa"/>
            </w:tcMar>
            <w:shd w:fill="F3F7F9"/>
          </w:tcPr>
          <w:p>
            <w:pPr>
              <w:pStyle w:val="TableNormal"/>
            </w:pPr>
            <w:r>
              <w:rPr>
                <w:b/>
              </w:rPr>
              <w:t>US</w:t>
            </w:r>
          </w:p>
        </w:tc>
        <w:tc>
          <w:tcPr>
            <w:tcW w:type="dxa" w:w="4167"/>
            <w:vAlign w:val="center"/>
            <w:tcMar>
              <w:top w:w="85" w:type="dxa"/>
              <w:bottom w:w="85" w:type="dxa"/>
              <w:left w:w="110" w:type="dxa"/>
              <w:right w:w="110" w:type="dxa"/>
            </w:tcMar>
            <w:shd w:fill="F3F7F9"/>
          </w:tcPr>
          <w:p>
            <w:pPr>
              <w:pStyle w:val="TableNormal"/>
            </w:pPr>
            <w:r>
              <w:t>WIUSAU Index</w:t>
            </w:r>
          </w:p>
        </w:tc>
        <w:tc>
          <w:tcPr>
            <w:tcW w:type="dxa" w:w="4280"/>
            <w:vAlign w:val="center"/>
            <w:tcMar>
              <w:top w:w="85" w:type="dxa"/>
              <w:bottom w:w="85" w:type="dxa"/>
              <w:left w:w="110" w:type="dxa"/>
              <w:right w:w="110" w:type="dxa"/>
            </w:tcMar>
            <w:shd w:fill="F3F7F9"/>
          </w:tcPr>
          <w:p>
            <w:pPr>
              <w:pStyle w:val="TableNormal"/>
            </w:pPr>
            <w:r>
              <w:t>SP500_bench</w:t>
            </w:r>
          </w:p>
        </w:tc>
      </w:tr>
    </w:tbl>
    <w:p>
      <w:pPr>
        <w:spacing w:after="0"/>
      </w:pPr>
    </w:p>
    <w:p>
      <w:r>
        <w:t>Les identifiants de rendements et de poids ci-dessus sont ceux des classeurs actuels. Le benchmark retenu pour la gestion et la communication doit être cohérent entre séries et pondérations.</w:t>
      </w:r>
    </w:p>
    <w:p>
      <w:pPr>
        <w:pStyle w:val="Heading1"/>
      </w:pPr>
      <w:r>
        <w:t>4. Univers sectoriels et variables</w:t>
      </w:r>
    </w:p>
    <w:p>
      <w:r>
        <w:t>Le modèle couvre 13 secteurs EU et 12 secteurs US. EU comprend Pers. Goods et Auto ; US comprend Retail à la place de Pers. Goods et ne comporte pas Auto. Les calculs de rang restent propres à chaque marché.</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1672"/>
            <w:vAlign w:val="center"/>
            <w:shd w:fill="183049"/>
            <w:tcMar>
              <w:top w:w="85" w:type="dxa"/>
              <w:bottom w:w="85" w:type="dxa"/>
              <w:left w:w="110" w:type="dxa"/>
              <w:right w:w="110" w:type="dxa"/>
            </w:tcMar>
          </w:tcPr>
          <w:p>
            <w:pPr>
              <w:pStyle w:val="TableNormal"/>
            </w:pPr>
            <w:r>
              <w:rPr>
                <w:b/>
                <w:color w:val="FFFFFF"/>
                <w:sz w:val="17"/>
              </w:rPr>
              <w:t>Pilier</w:t>
            </w:r>
          </w:p>
        </w:tc>
        <w:tc>
          <w:tcPr>
            <w:tcW w:type="dxa" w:w="4139"/>
            <w:vAlign w:val="center"/>
            <w:shd w:fill="183049"/>
            <w:tcMar>
              <w:top w:w="85" w:type="dxa"/>
              <w:bottom w:w="85" w:type="dxa"/>
              <w:left w:w="110" w:type="dxa"/>
              <w:right w:w="110" w:type="dxa"/>
            </w:tcMar>
          </w:tcPr>
          <w:p>
            <w:pPr>
              <w:pStyle w:val="TableNormal"/>
            </w:pPr>
            <w:r>
              <w:rPr>
                <w:b/>
                <w:color w:val="FFFFFF"/>
                <w:sz w:val="17"/>
              </w:rPr>
              <w:t>EU : composition standard</w:t>
            </w:r>
          </w:p>
        </w:tc>
        <w:tc>
          <w:tcPr>
            <w:tcW w:type="dxa" w:w="3770"/>
            <w:vAlign w:val="center"/>
            <w:shd w:fill="183049"/>
            <w:tcMar>
              <w:top w:w="85" w:type="dxa"/>
              <w:bottom w:w="85" w:type="dxa"/>
              <w:left w:w="110" w:type="dxa"/>
              <w:right w:w="110" w:type="dxa"/>
            </w:tcMar>
          </w:tcPr>
          <w:p>
            <w:pPr>
              <w:pStyle w:val="TableNormal"/>
            </w:pPr>
            <w:r>
              <w:rPr>
                <w:b/>
                <w:color w:val="FFFFFF"/>
                <w:sz w:val="17"/>
              </w:rPr>
              <w:t>US : composition standard</w:t>
            </w:r>
          </w:p>
        </w:tc>
      </w:tr>
      <w:tr>
        <w:trPr>
          <w:cantSplit/>
        </w:trPr>
        <w:tc>
          <w:tcPr>
            <w:tcW w:type="dxa" w:w="1672"/>
            <w:vAlign w:val="center"/>
            <w:tcMar>
              <w:top w:w="85" w:type="dxa"/>
              <w:bottom w:w="85" w:type="dxa"/>
              <w:left w:w="110" w:type="dxa"/>
              <w:right w:w="110" w:type="dxa"/>
            </w:tcMar>
          </w:tcPr>
          <w:p>
            <w:pPr>
              <w:pStyle w:val="TableNormal"/>
            </w:pPr>
            <w:r>
              <w:rPr>
                <w:b/>
              </w:rPr>
              <w:t>Leverage</w:t>
            </w:r>
          </w:p>
        </w:tc>
        <w:tc>
          <w:tcPr>
            <w:tcW w:type="dxa" w:w="4139"/>
            <w:vAlign w:val="center"/>
            <w:tcMar>
              <w:top w:w="85" w:type="dxa"/>
              <w:bottom w:w="85" w:type="dxa"/>
              <w:left w:w="110" w:type="dxa"/>
              <w:right w:w="110" w:type="dxa"/>
            </w:tcMar>
          </w:tcPr>
          <w:p>
            <w:pPr>
              <w:pStyle w:val="TableNormal"/>
            </w:pPr>
            <w:r>
              <w:t>net_debt_ebitda, fcf_total_debt, debt_equity</w:t>
            </w:r>
          </w:p>
        </w:tc>
        <w:tc>
          <w:tcPr>
            <w:tcW w:type="dxa" w:w="3770"/>
            <w:vAlign w:val="center"/>
            <w:tcMar>
              <w:top w:w="85" w:type="dxa"/>
              <w:bottom w:w="85" w:type="dxa"/>
              <w:left w:w="110" w:type="dxa"/>
              <w:right w:w="110" w:type="dxa"/>
            </w:tcMar>
          </w:tcPr>
          <w:p>
            <w:pPr>
              <w:pStyle w:val="TableNormal"/>
            </w:pPr>
            <w:r>
              <w:t>net_debt_ebitda, fcf_total_debt</w:t>
            </w:r>
          </w:p>
        </w:tc>
      </w:tr>
      <w:tr>
        <w:trPr>
          <w:cantSplit/>
        </w:trPr>
        <w:tc>
          <w:tcPr>
            <w:tcW w:type="dxa" w:w="1672"/>
            <w:vAlign w:val="center"/>
            <w:tcMar>
              <w:top w:w="85" w:type="dxa"/>
              <w:bottom w:w="85" w:type="dxa"/>
              <w:left w:w="110" w:type="dxa"/>
              <w:right w:w="110" w:type="dxa"/>
            </w:tcMar>
            <w:shd w:fill="F3F7F9"/>
          </w:tcPr>
          <w:p>
            <w:pPr>
              <w:pStyle w:val="TableNormal"/>
            </w:pPr>
            <w:r>
              <w:rPr>
                <w:b/>
              </w:rPr>
              <w:t>Margin</w:t>
            </w:r>
          </w:p>
        </w:tc>
        <w:tc>
          <w:tcPr>
            <w:tcW w:type="dxa" w:w="4139"/>
            <w:vAlign w:val="center"/>
            <w:tcMar>
              <w:top w:w="85" w:type="dxa"/>
              <w:bottom w:w="85" w:type="dxa"/>
              <w:left w:w="110" w:type="dxa"/>
              <w:right w:w="110" w:type="dxa"/>
            </w:tcMar>
            <w:shd w:fill="F3F7F9"/>
          </w:tcPr>
          <w:p>
            <w:pPr>
              <w:pStyle w:val="TableNormal"/>
            </w:pPr>
            <w:r>
              <w:t>operating_margin, net_margin, ebitda_margin</w:t>
            </w:r>
          </w:p>
        </w:tc>
        <w:tc>
          <w:tcPr>
            <w:tcW w:type="dxa" w:w="3770"/>
            <w:vAlign w:val="center"/>
            <w:tcMar>
              <w:top w:w="85" w:type="dxa"/>
              <w:bottom w:w="85" w:type="dxa"/>
              <w:left w:w="110" w:type="dxa"/>
              <w:right w:w="110" w:type="dxa"/>
            </w:tcMar>
            <w:shd w:fill="F3F7F9"/>
          </w:tcPr>
          <w:p>
            <w:pPr>
              <w:pStyle w:val="TableNormal"/>
            </w:pPr>
            <w:r>
              <w:t>Comme EU</w:t>
            </w:r>
          </w:p>
        </w:tc>
      </w:tr>
      <w:tr>
        <w:trPr>
          <w:cantSplit/>
        </w:trPr>
        <w:tc>
          <w:tcPr>
            <w:tcW w:type="dxa" w:w="1672"/>
            <w:vAlign w:val="center"/>
            <w:tcMar>
              <w:top w:w="85" w:type="dxa"/>
              <w:bottom w:w="85" w:type="dxa"/>
              <w:left w:w="110" w:type="dxa"/>
              <w:right w:w="110" w:type="dxa"/>
            </w:tcMar>
          </w:tcPr>
          <w:p>
            <w:pPr>
              <w:pStyle w:val="TableNormal"/>
            </w:pPr>
            <w:r>
              <w:rPr>
                <w:b/>
              </w:rPr>
              <w:t>Value</w:t>
            </w:r>
          </w:p>
        </w:tc>
        <w:tc>
          <w:tcPr>
            <w:tcW w:type="dxa" w:w="4139"/>
            <w:vAlign w:val="center"/>
            <w:tcMar>
              <w:top w:w="85" w:type="dxa"/>
              <w:bottom w:w="85" w:type="dxa"/>
              <w:left w:w="110" w:type="dxa"/>
              <w:right w:w="110" w:type="dxa"/>
            </w:tcMar>
          </w:tcPr>
          <w:p>
            <w:pPr>
              <w:pStyle w:val="TableNormal"/>
            </w:pPr>
            <w:r>
              <w:t>price_fcf, ev_ebitda, price_sales</w:t>
            </w:r>
          </w:p>
        </w:tc>
        <w:tc>
          <w:tcPr>
            <w:tcW w:type="dxa" w:w="3770"/>
            <w:vAlign w:val="center"/>
            <w:tcMar>
              <w:top w:w="85" w:type="dxa"/>
              <w:bottom w:w="85" w:type="dxa"/>
              <w:left w:w="110" w:type="dxa"/>
              <w:right w:w="110" w:type="dxa"/>
            </w:tcMar>
          </w:tcPr>
          <w:p>
            <w:pPr>
              <w:pStyle w:val="TableNormal"/>
            </w:pPr>
            <w:r>
              <w:t>Comme EU ; pe calculé pour Fin</w:t>
            </w:r>
          </w:p>
        </w:tc>
      </w:tr>
      <w:tr>
        <w:trPr>
          <w:cantSplit/>
        </w:trPr>
        <w:tc>
          <w:tcPr>
            <w:tcW w:type="dxa" w:w="1672"/>
            <w:vAlign w:val="center"/>
            <w:tcMar>
              <w:top w:w="85" w:type="dxa"/>
              <w:bottom w:w="85" w:type="dxa"/>
              <w:left w:w="110" w:type="dxa"/>
              <w:right w:w="110" w:type="dxa"/>
            </w:tcMar>
            <w:shd w:fill="F3F7F9"/>
          </w:tcPr>
          <w:p>
            <w:pPr>
              <w:pStyle w:val="TableNormal"/>
            </w:pPr>
            <w:r>
              <w:rPr>
                <w:b/>
              </w:rPr>
              <w:t>Momentum</w:t>
            </w:r>
          </w:p>
        </w:tc>
        <w:tc>
          <w:tcPr>
            <w:tcW w:type="dxa" w:w="4139"/>
            <w:vAlign w:val="center"/>
            <w:tcMar>
              <w:top w:w="85" w:type="dxa"/>
              <w:bottom w:w="85" w:type="dxa"/>
              <w:left w:w="110" w:type="dxa"/>
              <w:right w:w="110" w:type="dxa"/>
            </w:tcMar>
            <w:shd w:fill="F3F7F9"/>
          </w:tcPr>
          <w:p>
            <w:pPr>
              <w:pStyle w:val="TableNormal"/>
            </w:pPr>
            <w:r>
              <w:t>momentum_6m_1m, momentum_12m_1m, earnings_revision_ratio</w:t>
            </w:r>
          </w:p>
        </w:tc>
        <w:tc>
          <w:tcPr>
            <w:tcW w:type="dxa" w:w="3770"/>
            <w:vAlign w:val="center"/>
            <w:tcMar>
              <w:top w:w="85" w:type="dxa"/>
              <w:bottom w:w="85" w:type="dxa"/>
              <w:left w:w="110" w:type="dxa"/>
              <w:right w:w="110" w:type="dxa"/>
            </w:tcMar>
            <w:shd w:fill="F3F7F9"/>
          </w:tcPr>
          <w:p>
            <w:pPr>
              <w:pStyle w:val="TableNormal"/>
            </w:pPr>
            <w:r>
              <w:t>Les mêmes trois signaux</w:t>
            </w:r>
          </w:p>
        </w:tc>
      </w:tr>
      <w:tr>
        <w:trPr>
          <w:cantSplit/>
        </w:trPr>
        <w:tc>
          <w:tcPr>
            <w:tcW w:type="dxa" w:w="1672"/>
            <w:vAlign w:val="center"/>
            <w:tcMar>
              <w:top w:w="85" w:type="dxa"/>
              <w:bottom w:w="85" w:type="dxa"/>
              <w:left w:w="110" w:type="dxa"/>
              <w:right w:w="110" w:type="dxa"/>
            </w:tcMar>
          </w:tcPr>
          <w:p>
            <w:pPr>
              <w:pStyle w:val="TableNormal"/>
            </w:pPr>
            <w:r>
              <w:rPr>
                <w:b/>
              </w:rPr>
              <w:t>Growth</w:t>
            </w:r>
          </w:p>
        </w:tc>
        <w:tc>
          <w:tcPr>
            <w:tcW w:type="dxa" w:w="4139"/>
            <w:vAlign w:val="center"/>
            <w:tcMar>
              <w:top w:w="85" w:type="dxa"/>
              <w:bottom w:w="85" w:type="dxa"/>
              <w:left w:w="110" w:type="dxa"/>
              <w:right w:w="110" w:type="dxa"/>
            </w:tcMar>
          </w:tcPr>
          <w:p>
            <w:pPr>
              <w:pStyle w:val="TableNormal"/>
            </w:pPr>
            <w:r>
              <w:t>eps_growth, sales_growth, ebitda_growth</w:t>
            </w:r>
          </w:p>
        </w:tc>
        <w:tc>
          <w:tcPr>
            <w:tcW w:type="dxa" w:w="3770"/>
            <w:vAlign w:val="center"/>
            <w:tcMar>
              <w:top w:w="85" w:type="dxa"/>
              <w:bottom w:w="85" w:type="dxa"/>
              <w:left w:w="110" w:type="dxa"/>
              <w:right w:w="110" w:type="dxa"/>
            </w:tcMar>
          </w:tcPr>
          <w:p>
            <w:pPr>
              <w:pStyle w:val="TableNormal"/>
            </w:pPr>
            <w:r>
              <w:t>cash_flow_growth, ebitda_growth</w:t>
            </w:r>
          </w:p>
        </w:tc>
      </w:tr>
      <w:tr>
        <w:trPr>
          <w:cantSplit/>
        </w:trPr>
        <w:tc>
          <w:tcPr>
            <w:tcW w:type="dxa" w:w="1672"/>
            <w:vAlign w:val="center"/>
            <w:tcMar>
              <w:top w:w="85" w:type="dxa"/>
              <w:bottom w:w="85" w:type="dxa"/>
              <w:left w:w="110" w:type="dxa"/>
              <w:right w:w="110" w:type="dxa"/>
            </w:tcMar>
            <w:shd w:fill="F3F7F9"/>
          </w:tcPr>
          <w:p>
            <w:pPr>
              <w:pStyle w:val="TableNormal"/>
            </w:pPr>
            <w:r>
              <w:rPr>
                <w:b/>
              </w:rPr>
              <w:t>Volatility</w:t>
            </w:r>
          </w:p>
        </w:tc>
        <w:tc>
          <w:tcPr>
            <w:tcW w:type="dxa" w:w="4139"/>
            <w:vAlign w:val="center"/>
            <w:tcMar>
              <w:top w:w="85" w:type="dxa"/>
              <w:bottom w:w="85" w:type="dxa"/>
              <w:left w:w="110" w:type="dxa"/>
              <w:right w:w="110" w:type="dxa"/>
            </w:tcMar>
            <w:shd w:fill="F3F7F9"/>
          </w:tcPr>
          <w:p>
            <w:pPr>
              <w:pStyle w:val="TableNormal"/>
            </w:pPr>
            <w:r>
              <w:t>volatility_6m, downside_volatility_18m</w:t>
            </w:r>
          </w:p>
        </w:tc>
        <w:tc>
          <w:tcPr>
            <w:tcW w:type="dxa" w:w="3770"/>
            <w:vAlign w:val="center"/>
            <w:tcMar>
              <w:top w:w="85" w:type="dxa"/>
              <w:bottom w:w="85" w:type="dxa"/>
              <w:left w:w="110" w:type="dxa"/>
              <w:right w:w="110" w:type="dxa"/>
            </w:tcMar>
            <w:shd w:fill="F3F7F9"/>
          </w:tcPr>
          <w:p>
            <w:pPr>
              <w:pStyle w:val="TableNormal"/>
            </w:pPr>
            <w:r>
              <w:t>Les mêmes deux mesures</w:t>
            </w:r>
          </w:p>
        </w:tc>
      </w:tr>
    </w:tbl>
    <w:p>
      <w:pPr>
        <w:spacing w:after="0"/>
      </w:pPr>
    </w:p>
    <w:p>
      <w:r>
        <w:t>Sens favorable : moins d’endettement, des valorisations plus faibles et une volatilité plus basse ; des marges, une croissance, un momentum et une capacité de remboursement plus élevés.</w:t>
      </w:r>
    </w:p>
    <w:p>
      <w:r>
        <w:t>Exceptions de composition : Fin utilise ev_ebitda + price_sales pour Value EU et pe + price_sales pour Value US. Pour Growth, Fin utilise eps_growth + sales_growth dans les deux marchés. Tech utilise price_fcf + ev_ebitda pour Value.</w:t>
      </w:r>
    </w:p>
    <w:p>
      <w:r>
        <w:t>La règle de votes de Travel &amp; leisure est spécifique depuis octobre 2011 : ses compteurs Top et Worst sont ramenés à zéro.</w:t>
      </w:r>
    </w:p>
    <w:p>
      <w:pPr>
        <w:pStyle w:val="Heading1"/>
        <w:pageBreakBefore/>
      </w:pPr>
      <w:r>
        <w:t>5. Calcul des sous-scores et des piliers</w:t>
      </w:r>
    </w:p>
    <w:p>
      <w:pPr>
        <w:pStyle w:val="Heading2"/>
      </w:pPr>
      <w:r>
        <w:t>Score historique H</w:t>
      </w:r>
    </w:p>
    <w:p>
      <w:r>
        <w:t>Pour chaque variable, la valeur du secteur est comparée à la moyenne sectorielle du mois. L’écart obtenu est ensuite classé dans son historique ; une valeur orientée favorable obtient un score plus élevé.</w:t>
      </w:r>
    </w:p>
    <w:p>
      <w:r>
        <w:t>H = 10 × rang favorable de l’écart / nombre d’observations. La fenêtre ordinaire comporte 61 observations, mois courant compris ; elle en comporte 37 pour les deux multiples price_fcf et ev_ebitda de Tech.</w:t>
      </w:r>
    </w:p>
    <w:p>
      <w:pPr>
        <w:pStyle w:val="Heading2"/>
      </w:pPr>
      <w:r>
        <w:t>Score transversal X</w:t>
      </w:r>
    </w:p>
    <w:p>
      <w:r>
        <w:t>Certaines variables ajoutent le classement entre secteurs : X = 10 × rang favorable de la valeur brute / nombre de secteurs. Le sous-score final vaut (H + X) / 2. Ce calcul H+X est utilisé pour Margin dans les deux marchés et pour Leverage US. Les autres variables fondamentales utilisent H.</w:t>
      </w:r>
    </w:p>
    <w:p>
      <w:pPr>
        <w:pStyle w:val="Heading2"/>
      </w:pPr>
      <w:r>
        <w:t>Du sous-score au pilier</w:t>
      </w:r>
    </w:p>
    <w:p>
      <w:r>
        <w:t>Chaque pilier est la moyenne des sous-scores sélectionnés. Le secteur au score de pilier le plus favorable reçoit le rang interne le plus élevé. Les sous-scores sélectionnés doivent être disponibles pour construire le pilier.</w:t>
      </w:r>
    </w:p>
    <w:p>
      <w:pPr>
        <w:pStyle w:val="Heading1"/>
      </w:pPr>
      <w:r>
        <w:t>6. Momentum et volatilité</w:t>
      </w:r>
    </w:p>
    <w:p>
      <w:pPr>
        <w:pStyle w:val="Heading2"/>
      </w:pPr>
      <w:r>
        <w:t>Momentum</w:t>
      </w:r>
    </w:p>
    <w:p>
      <w:r>
        <w:t>Le pilier combine deux variations de prix (horizons 6 et 12 mois, en excluant habituellement le prix du mois courant) et la balance des révisions bénéficiaires : (hausses − baisses) / (hausses + baisses + stables). Pour Tech, les deux variations utilisent le prix courant.</w:t>
      </w:r>
    </w:p>
    <w:p>
      <w:r>
        <w:t>Ces trois mesures sont classées entre secteurs, puis moyennées. EU convertit les rangs sur une échelle 0–10 ; US utilise le rang brut.</w:t>
      </w:r>
    </w:p>
    <w:p>
      <w:pPr>
        <w:pStyle w:val="Heading2"/>
      </w:pPr>
      <w:r>
        <w:t>Volatility</w:t>
      </w:r>
    </w:p>
    <w:p>
      <w:r>
        <w:t>Les rendements sont calculés à partir des indices de Returns_EQ. La volatilité totale utilise l’écart-type annualisé sur 7 observations mensuelles. La volatilité baissière retient l’écart-type des rendements négatifs parmi 19 observations, avec annualisation par √12.</w:t>
      </w:r>
    </w:p>
    <w:p>
      <w:r>
        <w:t>Les deux mesures reçoivent un score historique orienté favorablement aux secteurs les moins volatils, puis sont moyennées.</w:t>
      </w:r>
    </w:p>
    <w:p>
      <w:pPr>
        <w:pStyle w:val="Heading1"/>
      </w:pPr>
      <w:r>
        <w:t>7. Cycle macroéconomique et taux US 10 ans</w:t>
      </w:r>
    </w:p>
    <w:p>
      <w:r>
        <w:t>Le fichier macro fournit les scores et cycles enregistrés dans Excel. EU : moyenne de quatre composantes (score U) et cycle filtré AB. US : quatre composantes pondérées à 30 % / 30 % / 30 % / 10 % (score Q) et cycle filtré U.</w:t>
      </w:r>
    </w:p>
    <w:p>
      <w:r>
        <w:t>Selon le niveau et la direction du score, le régime est Expansion (E), Recovery (R), Slowdown (SD) ou Contraction (C). Il choisit les pondérations du rang de tilt macro :</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1162"/>
            <w:vAlign w:val="center"/>
            <w:shd w:fill="183049"/>
            <w:tcMar>
              <w:top w:w="43" w:type="dxa"/>
              <w:bottom w:w="43" w:type="dxa"/>
              <w:left w:w="110" w:type="dxa"/>
              <w:right w:w="110" w:type="dxa"/>
            </w:tcMar>
          </w:tcPr>
          <w:p>
            <w:pPr>
              <w:pStyle w:val="TableNormal"/>
            </w:pPr>
            <w:r>
              <w:rPr>
                <w:b/>
                <w:color w:val="FFFFFF"/>
                <w:sz w:val="17"/>
              </w:rPr>
              <w:t>Marché</w:t>
            </w:r>
          </w:p>
        </w:tc>
        <w:tc>
          <w:tcPr>
            <w:tcW w:type="dxa" w:w="1219"/>
            <w:vAlign w:val="center"/>
            <w:shd w:fill="183049"/>
            <w:tcMar>
              <w:top w:w="43" w:type="dxa"/>
              <w:bottom w:w="43" w:type="dxa"/>
              <w:left w:w="110" w:type="dxa"/>
              <w:right w:w="110" w:type="dxa"/>
            </w:tcMar>
          </w:tcPr>
          <w:p>
            <w:pPr>
              <w:pStyle w:val="TableNormal"/>
            </w:pPr>
            <w:r>
              <w:rPr>
                <w:b/>
                <w:color w:val="FFFFFF"/>
                <w:sz w:val="17"/>
              </w:rPr>
              <w:t>Régime</w:t>
            </w:r>
          </w:p>
        </w:tc>
        <w:tc>
          <w:tcPr>
            <w:tcW w:type="dxa" w:w="7200"/>
            <w:vAlign w:val="center"/>
            <w:shd w:fill="183049"/>
            <w:tcMar>
              <w:top w:w="43" w:type="dxa"/>
              <w:bottom w:w="43" w:type="dxa"/>
              <w:left w:w="110" w:type="dxa"/>
              <w:right w:w="110" w:type="dxa"/>
            </w:tcMar>
          </w:tcPr>
          <w:p>
            <w:pPr>
              <w:pStyle w:val="TableNormal"/>
            </w:pPr>
            <w:r>
              <w:rPr>
                <w:b/>
                <w:color w:val="FFFFFF"/>
                <w:sz w:val="17"/>
              </w:rPr>
              <w:t>Pondérations non nulles</w:t>
            </w:r>
          </w:p>
        </w:tc>
      </w:tr>
      <w:tr>
        <w:trPr>
          <w:cantSplit/>
        </w:trPr>
        <w:tc>
          <w:tcPr>
            <w:tcW w:type="dxa" w:w="1162"/>
            <w:vAlign w:val="center"/>
            <w:tcMar>
              <w:top w:w="43" w:type="dxa"/>
              <w:bottom w:w="43" w:type="dxa"/>
              <w:left w:w="110" w:type="dxa"/>
              <w:right w:w="110" w:type="dxa"/>
            </w:tcMar>
          </w:tcPr>
          <w:p>
            <w:pPr>
              <w:pStyle w:val="TableNormal"/>
            </w:pPr>
            <w:r>
              <w:rPr>
                <w:b/>
              </w:rPr>
              <w:t>EU</w:t>
            </w:r>
          </w:p>
        </w:tc>
        <w:tc>
          <w:tcPr>
            <w:tcW w:type="dxa" w:w="1219"/>
            <w:vAlign w:val="center"/>
            <w:tcMar>
              <w:top w:w="43" w:type="dxa"/>
              <w:bottom w:w="43" w:type="dxa"/>
              <w:left w:w="110" w:type="dxa"/>
              <w:right w:w="110" w:type="dxa"/>
            </w:tcMar>
          </w:tcPr>
          <w:p>
            <w:pPr>
              <w:pStyle w:val="TableNormal"/>
            </w:pPr>
            <w:r>
              <w:t>Base / E</w:t>
            </w:r>
          </w:p>
        </w:tc>
        <w:tc>
          <w:tcPr>
            <w:tcW w:type="dxa" w:w="7200"/>
            <w:vAlign w:val="center"/>
            <w:tcMar>
              <w:top w:w="43" w:type="dxa"/>
              <w:bottom w:w="43" w:type="dxa"/>
              <w:left w:w="110" w:type="dxa"/>
              <w:right w:w="110" w:type="dxa"/>
            </w:tcMar>
          </w:tcPr>
          <w:p>
            <w:pPr>
              <w:pStyle w:val="TableNormal"/>
            </w:pPr>
            <w:r>
              <w:t>Leverage, Margin, Value, Momentum, Growth, Volatility : 1/6 chacun</w:t>
            </w:r>
          </w:p>
        </w:tc>
      </w:tr>
      <w:tr>
        <w:trPr>
          <w:cantSplit/>
        </w:trPr>
        <w:tc>
          <w:tcPr>
            <w:tcW w:type="dxa" w:w="1162"/>
            <w:vAlign w:val="center"/>
            <w:tcMar>
              <w:top w:w="43" w:type="dxa"/>
              <w:bottom w:w="43" w:type="dxa"/>
              <w:left w:w="110" w:type="dxa"/>
              <w:right w:w="110" w:type="dxa"/>
            </w:tcMar>
            <w:shd w:fill="F3F7F9"/>
          </w:tcPr>
          <w:p>
            <w:pPr>
              <w:pStyle w:val="TableNormal"/>
            </w:pPr>
            <w:r>
              <w:rPr>
                <w:b/>
              </w:rPr>
              <w:t>EU</w:t>
            </w:r>
          </w:p>
        </w:tc>
        <w:tc>
          <w:tcPr>
            <w:tcW w:type="dxa" w:w="1219"/>
            <w:vAlign w:val="center"/>
            <w:tcMar>
              <w:top w:w="43" w:type="dxa"/>
              <w:bottom w:w="43" w:type="dxa"/>
              <w:left w:w="110" w:type="dxa"/>
              <w:right w:w="110" w:type="dxa"/>
            </w:tcMar>
            <w:shd w:fill="F3F7F9"/>
          </w:tcPr>
          <w:p>
            <w:pPr>
              <w:pStyle w:val="TableNormal"/>
            </w:pPr>
            <w:r>
              <w:t>C</w:t>
            </w:r>
          </w:p>
        </w:tc>
        <w:tc>
          <w:tcPr>
            <w:tcW w:type="dxa" w:w="7200"/>
            <w:vAlign w:val="center"/>
            <w:tcMar>
              <w:top w:w="43" w:type="dxa"/>
              <w:bottom w:w="43" w:type="dxa"/>
              <w:left w:w="110" w:type="dxa"/>
              <w:right w:w="110" w:type="dxa"/>
            </w:tcMar>
            <w:shd w:fill="F3F7F9"/>
          </w:tcPr>
          <w:p>
            <w:pPr>
              <w:pStyle w:val="TableNormal"/>
            </w:pPr>
            <w:r>
              <w:t>Leverage 10 % · Momentum 30 % · Growth 20 % · Volatility 40 %</w:t>
            </w:r>
          </w:p>
        </w:tc>
      </w:tr>
      <w:tr>
        <w:trPr>
          <w:cantSplit/>
        </w:trPr>
        <w:tc>
          <w:tcPr>
            <w:tcW w:type="dxa" w:w="1162"/>
            <w:vAlign w:val="center"/>
            <w:tcMar>
              <w:top w:w="43" w:type="dxa"/>
              <w:bottom w:w="43" w:type="dxa"/>
              <w:left w:w="110" w:type="dxa"/>
              <w:right w:w="110" w:type="dxa"/>
            </w:tcMar>
          </w:tcPr>
          <w:p>
            <w:pPr>
              <w:pStyle w:val="TableNormal"/>
            </w:pPr>
            <w:r>
              <w:rPr>
                <w:b/>
              </w:rPr>
              <w:t>EU</w:t>
            </w:r>
          </w:p>
        </w:tc>
        <w:tc>
          <w:tcPr>
            <w:tcW w:type="dxa" w:w="1219"/>
            <w:vAlign w:val="center"/>
            <w:tcMar>
              <w:top w:w="43" w:type="dxa"/>
              <w:bottom w:w="43" w:type="dxa"/>
              <w:left w:w="110" w:type="dxa"/>
              <w:right w:w="110" w:type="dxa"/>
            </w:tcMar>
          </w:tcPr>
          <w:p>
            <w:pPr>
              <w:pStyle w:val="TableNormal"/>
            </w:pPr>
            <w:r>
              <w:t>R</w:t>
            </w:r>
          </w:p>
        </w:tc>
        <w:tc>
          <w:tcPr>
            <w:tcW w:type="dxa" w:w="7200"/>
            <w:vAlign w:val="center"/>
            <w:tcMar>
              <w:top w:w="43" w:type="dxa"/>
              <w:bottom w:w="43" w:type="dxa"/>
              <w:left w:w="110" w:type="dxa"/>
              <w:right w:w="110" w:type="dxa"/>
            </w:tcMar>
          </w:tcPr>
          <w:p>
            <w:pPr>
              <w:pStyle w:val="TableNormal"/>
            </w:pPr>
            <w:r>
              <w:t>Leverage 10 % · Margin 10 % · Value 10 % · Momentum 35 % · Growth 35 %</w:t>
            </w:r>
          </w:p>
        </w:tc>
      </w:tr>
      <w:tr>
        <w:trPr>
          <w:cantSplit/>
        </w:trPr>
        <w:tc>
          <w:tcPr>
            <w:tcW w:type="dxa" w:w="1162"/>
            <w:vAlign w:val="center"/>
            <w:tcMar>
              <w:top w:w="43" w:type="dxa"/>
              <w:bottom w:w="43" w:type="dxa"/>
              <w:left w:w="110" w:type="dxa"/>
              <w:right w:w="110" w:type="dxa"/>
            </w:tcMar>
            <w:shd w:fill="F3F7F9"/>
          </w:tcPr>
          <w:p>
            <w:pPr>
              <w:pStyle w:val="TableNormal"/>
            </w:pPr>
            <w:r>
              <w:rPr>
                <w:b/>
              </w:rPr>
              <w:t>EU</w:t>
            </w:r>
          </w:p>
        </w:tc>
        <w:tc>
          <w:tcPr>
            <w:tcW w:type="dxa" w:w="1219"/>
            <w:vAlign w:val="center"/>
            <w:tcMar>
              <w:top w:w="43" w:type="dxa"/>
              <w:bottom w:w="43" w:type="dxa"/>
              <w:left w:w="110" w:type="dxa"/>
              <w:right w:w="110" w:type="dxa"/>
            </w:tcMar>
            <w:shd w:fill="F3F7F9"/>
          </w:tcPr>
          <w:p>
            <w:pPr>
              <w:pStyle w:val="TableNormal"/>
            </w:pPr>
            <w:r>
              <w:t>SD</w:t>
            </w:r>
          </w:p>
        </w:tc>
        <w:tc>
          <w:tcPr>
            <w:tcW w:type="dxa" w:w="7200"/>
            <w:vAlign w:val="center"/>
            <w:tcMar>
              <w:top w:w="43" w:type="dxa"/>
              <w:bottom w:w="43" w:type="dxa"/>
              <w:left w:w="110" w:type="dxa"/>
              <w:right w:w="110" w:type="dxa"/>
            </w:tcMar>
            <w:shd w:fill="F3F7F9"/>
          </w:tcPr>
          <w:p>
            <w:pPr>
              <w:pStyle w:val="TableNormal"/>
            </w:pPr>
            <w:r>
              <w:t>Value 30 % · Momentum 10 % · Growth 30 % · Volatility 30 %</w:t>
            </w:r>
          </w:p>
        </w:tc>
      </w:tr>
      <w:tr>
        <w:trPr>
          <w:cantSplit/>
        </w:trPr>
        <w:tc>
          <w:tcPr>
            <w:tcW w:type="dxa" w:w="1162"/>
            <w:vAlign w:val="center"/>
            <w:tcMar>
              <w:top w:w="43" w:type="dxa"/>
              <w:bottom w:w="43" w:type="dxa"/>
              <w:left w:w="110" w:type="dxa"/>
              <w:right w:w="110" w:type="dxa"/>
            </w:tcMar>
          </w:tcPr>
          <w:p>
            <w:pPr>
              <w:pStyle w:val="TableNormal"/>
            </w:pPr>
            <w:r>
              <w:rPr>
                <w:b/>
              </w:rPr>
              <w:t>US</w:t>
            </w:r>
          </w:p>
        </w:tc>
        <w:tc>
          <w:tcPr>
            <w:tcW w:type="dxa" w:w="1219"/>
            <w:vAlign w:val="center"/>
            <w:tcMar>
              <w:top w:w="43" w:type="dxa"/>
              <w:bottom w:w="43" w:type="dxa"/>
              <w:left w:w="110" w:type="dxa"/>
              <w:right w:w="110" w:type="dxa"/>
            </w:tcMar>
          </w:tcPr>
          <w:p>
            <w:pPr>
              <w:pStyle w:val="TableNormal"/>
            </w:pPr>
            <w:r>
              <w:t>Base / E</w:t>
            </w:r>
          </w:p>
        </w:tc>
        <w:tc>
          <w:tcPr>
            <w:tcW w:type="dxa" w:w="7200"/>
            <w:vAlign w:val="center"/>
            <w:tcMar>
              <w:top w:w="43" w:type="dxa"/>
              <w:bottom w:w="43" w:type="dxa"/>
              <w:left w:w="110" w:type="dxa"/>
              <w:right w:w="110" w:type="dxa"/>
            </w:tcMar>
          </w:tcPr>
          <w:p>
            <w:pPr>
              <w:pStyle w:val="TableNormal"/>
            </w:pPr>
            <w:r>
              <w:t>Leverage, Value, Momentum, Growth, Volatility : 20 % chacun</w:t>
            </w:r>
          </w:p>
        </w:tc>
      </w:tr>
      <w:tr>
        <w:trPr>
          <w:cantSplit/>
        </w:trPr>
        <w:tc>
          <w:tcPr>
            <w:tcW w:type="dxa" w:w="1162"/>
            <w:vAlign w:val="center"/>
            <w:tcMar>
              <w:top w:w="43" w:type="dxa"/>
              <w:bottom w:w="43" w:type="dxa"/>
              <w:left w:w="110" w:type="dxa"/>
              <w:right w:w="110" w:type="dxa"/>
            </w:tcMar>
            <w:shd w:fill="F3F7F9"/>
          </w:tcPr>
          <w:p>
            <w:pPr>
              <w:pStyle w:val="TableNormal"/>
            </w:pPr>
            <w:r>
              <w:rPr>
                <w:b/>
              </w:rPr>
              <w:t>US</w:t>
            </w:r>
          </w:p>
        </w:tc>
        <w:tc>
          <w:tcPr>
            <w:tcW w:type="dxa" w:w="1219"/>
            <w:vAlign w:val="center"/>
            <w:tcMar>
              <w:top w:w="43" w:type="dxa"/>
              <w:bottom w:w="43" w:type="dxa"/>
              <w:left w:w="110" w:type="dxa"/>
              <w:right w:w="110" w:type="dxa"/>
            </w:tcMar>
            <w:shd w:fill="F3F7F9"/>
          </w:tcPr>
          <w:p>
            <w:pPr>
              <w:pStyle w:val="TableNormal"/>
            </w:pPr>
            <w:r>
              <w:t>C</w:t>
            </w:r>
          </w:p>
        </w:tc>
        <w:tc>
          <w:tcPr>
            <w:tcW w:type="dxa" w:w="7200"/>
            <w:vAlign w:val="center"/>
            <w:tcMar>
              <w:top w:w="43" w:type="dxa"/>
              <w:bottom w:w="43" w:type="dxa"/>
              <w:left w:w="110" w:type="dxa"/>
              <w:right w:w="110" w:type="dxa"/>
            </w:tcMar>
            <w:shd w:fill="F3F7F9"/>
          </w:tcPr>
          <w:p>
            <w:pPr>
              <w:pStyle w:val="TableNormal"/>
            </w:pPr>
            <w:r>
              <w:t>Leverage 20 % · Value 20 % · Growth 20 % · Volatility 40 %</w:t>
            </w:r>
          </w:p>
        </w:tc>
      </w:tr>
      <w:tr>
        <w:trPr>
          <w:cantSplit/>
        </w:trPr>
        <w:tc>
          <w:tcPr>
            <w:tcW w:type="dxa" w:w="1162"/>
            <w:vAlign w:val="center"/>
            <w:tcMar>
              <w:top w:w="43" w:type="dxa"/>
              <w:bottom w:w="43" w:type="dxa"/>
              <w:left w:w="110" w:type="dxa"/>
              <w:right w:w="110" w:type="dxa"/>
            </w:tcMar>
          </w:tcPr>
          <w:p>
            <w:pPr>
              <w:pStyle w:val="TableNormal"/>
            </w:pPr>
            <w:r>
              <w:rPr>
                <w:b/>
              </w:rPr>
              <w:t>US</w:t>
            </w:r>
          </w:p>
        </w:tc>
        <w:tc>
          <w:tcPr>
            <w:tcW w:type="dxa" w:w="1219"/>
            <w:vAlign w:val="center"/>
            <w:tcMar>
              <w:top w:w="43" w:type="dxa"/>
              <w:bottom w:w="43" w:type="dxa"/>
              <w:left w:w="110" w:type="dxa"/>
              <w:right w:w="110" w:type="dxa"/>
            </w:tcMar>
          </w:tcPr>
          <w:p>
            <w:pPr>
              <w:pStyle w:val="TableNormal"/>
            </w:pPr>
            <w:r>
              <w:t>R</w:t>
            </w:r>
          </w:p>
        </w:tc>
        <w:tc>
          <w:tcPr>
            <w:tcW w:type="dxa" w:w="7200"/>
            <w:vAlign w:val="center"/>
            <w:tcMar>
              <w:top w:w="43" w:type="dxa"/>
              <w:bottom w:w="43" w:type="dxa"/>
              <w:left w:w="110" w:type="dxa"/>
              <w:right w:w="110" w:type="dxa"/>
            </w:tcMar>
          </w:tcPr>
          <w:p>
            <w:pPr>
              <w:pStyle w:val="TableNormal"/>
            </w:pPr>
            <w:r>
              <w:t>Momentum 50 % · Growth 50 %</w:t>
            </w:r>
          </w:p>
        </w:tc>
      </w:tr>
      <w:tr>
        <w:trPr>
          <w:cantSplit/>
        </w:trPr>
        <w:tc>
          <w:tcPr>
            <w:tcW w:type="dxa" w:w="1162"/>
            <w:vAlign w:val="center"/>
            <w:tcMar>
              <w:top w:w="43" w:type="dxa"/>
              <w:bottom w:w="43" w:type="dxa"/>
              <w:left w:w="110" w:type="dxa"/>
              <w:right w:w="110" w:type="dxa"/>
            </w:tcMar>
            <w:shd w:fill="F3F7F9"/>
          </w:tcPr>
          <w:p>
            <w:pPr>
              <w:pStyle w:val="TableNormal"/>
            </w:pPr>
            <w:r>
              <w:rPr>
                <w:b/>
              </w:rPr>
              <w:t>US</w:t>
            </w:r>
          </w:p>
        </w:tc>
        <w:tc>
          <w:tcPr>
            <w:tcW w:type="dxa" w:w="1219"/>
            <w:vAlign w:val="center"/>
            <w:tcMar>
              <w:top w:w="43" w:type="dxa"/>
              <w:bottom w:w="43" w:type="dxa"/>
              <w:left w:w="110" w:type="dxa"/>
              <w:right w:w="110" w:type="dxa"/>
            </w:tcMar>
            <w:shd w:fill="F3F7F9"/>
          </w:tcPr>
          <w:p>
            <w:pPr>
              <w:pStyle w:val="TableNormal"/>
            </w:pPr>
            <w:r>
              <w:t>SD</w:t>
            </w:r>
          </w:p>
        </w:tc>
        <w:tc>
          <w:tcPr>
            <w:tcW w:type="dxa" w:w="7200"/>
            <w:vAlign w:val="center"/>
            <w:tcMar>
              <w:top w:w="43" w:type="dxa"/>
              <w:bottom w:w="43" w:type="dxa"/>
              <w:left w:w="110" w:type="dxa"/>
              <w:right w:w="110" w:type="dxa"/>
            </w:tcMar>
            <w:shd w:fill="F3F7F9"/>
          </w:tcPr>
          <w:p>
            <w:pPr>
              <w:pStyle w:val="TableNormal"/>
            </w:pPr>
            <w:r>
              <w:t>Leverage 10 % · Value 15 % · Momentum 30 % · Growth 15 % · Volatility 30 %</w:t>
            </w:r>
          </w:p>
        </w:tc>
      </w:tr>
    </w:tbl>
    <w:p>
      <w:pPr>
        <w:spacing w:after="0"/>
      </w:pPr>
    </w:p>
    <w:p>
      <w:r>
        <w:t>Le signal de taux lisse le 10 ans US par une moyenne exponentielle (coefficient 0,715). Lorsque l’écart du taux à ce lissage dépasse son 85ᵉ percentile historique, le signal passe à On et augmente les votes liés à Leverage et Value.</w:t>
      </w:r>
    </w:p>
    <w:p>
      <w:pPr>
        <w:pStyle w:val="Heading1"/>
      </w:pPr>
      <w:r>
        <w:t>8. Score global et recommandations</w:t>
      </w:r>
    </w:p>
    <w:p>
      <w:r>
        <w:t>Le modèle calcule un score de base à partir des rangs des piliers, puis un score de tilt avec les poids du régime. Le rang de ce tilt rejoint les rangs fondamentaux dans le score global : six piliers plus Macro en EU, cinq piliers (sans Margin) plus Macro en US.</w:t>
      </w:r>
    </w:p>
    <w:p>
      <w:r>
        <w:t>Chaque pilier apporte un vote Top ou Worst lorsque le secteur entre dans les trois premières ou dernières positions. Le tilt macro ajoute deux votes en EU et un vote en US. Le signal de taux On ajoute un vote pour Leverage et Value. Margin est exclu des votes Worst US.</w:t>
      </w:r>
    </w:p>
    <w:p>
      <w:r>
        <w:t>Les listes Positive et Negative sont départagées par le nombre de votes et par le rang global, avec une limite de trois secteurs par groupe. Positive est prioritaire lorsque les deux sélections se recoupent ; les autres secteurs sont Neutral.</w:t>
      </w:r>
    </w:p>
    <w:p>
      <w:pPr>
        <w:pStyle w:val="Heading1"/>
      </w:pPr>
      <w:r>
        <w:t>9. Portefeuille et performances</w:t>
      </w:r>
    </w:p>
    <w:p>
      <w:r>
        <w:t>Pour le rendement du mois t, le modèle utilise les recommandations émises au mois t−1 et les derniers poids Bench disponibles. Il ajuste chaque poids sectoriel puis normalise le portefeuille.</w:t>
      </w:r>
    </w:p>
    <w:tbl>
      <w:tblPr>
        <w:tblStyle w:val="TableGrid"/>
        <w:tblW w:type="auto" w:w="0"/>
        <w:jc w:val="center"/>
        <w:tblLayout w:type="fixed"/>
        <w:tblLook w:firstColumn="1" w:firstRow="1" w:lastColumn="0" w:lastRow="0" w:noHBand="0" w:noVBand="1" w:val="04A0"/>
      </w:tblPr>
      <w:tblGrid>
        <w:gridCol w:w="4791"/>
        <w:gridCol w:w="4791"/>
      </w:tblGrid>
      <w:tr>
        <w:trPr>
          <w:tblHeader/>
          <w:cantSplit/>
        </w:trPr>
        <w:tc>
          <w:tcPr>
            <w:tcW w:type="dxa" w:w="2381"/>
            <w:vAlign w:val="center"/>
            <w:shd w:fill="183049"/>
            <w:tcMar>
              <w:top w:w="85" w:type="dxa"/>
              <w:bottom w:w="85" w:type="dxa"/>
              <w:left w:w="110" w:type="dxa"/>
              <w:right w:w="110" w:type="dxa"/>
            </w:tcMar>
          </w:tcPr>
          <w:p>
            <w:pPr>
              <w:pStyle w:val="TableNormal"/>
            </w:pPr>
            <w:r>
              <w:rPr>
                <w:b/>
                <w:color w:val="FFFFFF"/>
                <w:sz w:val="17"/>
              </w:rPr>
              <w:t>Recommandation</w:t>
            </w:r>
          </w:p>
        </w:tc>
        <w:tc>
          <w:tcPr>
            <w:tcW w:type="dxa" w:w="7200"/>
            <w:vAlign w:val="center"/>
            <w:shd w:fill="183049"/>
            <w:tcMar>
              <w:top w:w="85" w:type="dxa"/>
              <w:bottom w:w="85" w:type="dxa"/>
              <w:left w:w="110" w:type="dxa"/>
              <w:right w:w="110" w:type="dxa"/>
            </w:tcMar>
          </w:tcPr>
          <w:p>
            <w:pPr>
              <w:pStyle w:val="TableNormal"/>
            </w:pPr>
            <w:r>
              <w:rPr>
                <w:b/>
                <w:color w:val="FFFFFF"/>
                <w:sz w:val="17"/>
              </w:rPr>
              <w:t>Règle de poids</w:t>
            </w:r>
          </w:p>
        </w:tc>
      </w:tr>
      <w:tr>
        <w:trPr>
          <w:cantSplit/>
        </w:trPr>
        <w:tc>
          <w:tcPr>
            <w:tcW w:type="dxa" w:w="2381"/>
            <w:vAlign w:val="center"/>
            <w:tcMar>
              <w:top w:w="85" w:type="dxa"/>
              <w:bottom w:w="85" w:type="dxa"/>
              <w:left w:w="110" w:type="dxa"/>
              <w:right w:w="110" w:type="dxa"/>
            </w:tcMar>
          </w:tcPr>
          <w:p>
            <w:pPr>
              <w:pStyle w:val="TableNormal"/>
            </w:pPr>
            <w:r>
              <w:rPr>
                <w:b/>
              </w:rPr>
              <w:t>Positive</w:t>
            </w:r>
          </w:p>
        </w:tc>
        <w:tc>
          <w:tcPr>
            <w:tcW w:type="dxa" w:w="7200"/>
            <w:vAlign w:val="center"/>
            <w:tcMar>
              <w:top w:w="85" w:type="dxa"/>
              <w:bottom w:w="85" w:type="dxa"/>
              <w:left w:w="110" w:type="dxa"/>
              <w:right w:w="110" w:type="dxa"/>
            </w:tcMar>
          </w:tcPr>
          <w:p>
            <w:pPr>
              <w:pStyle w:val="TableNormal"/>
            </w:pPr>
            <w:r>
              <w:t>max(1,20 × poids Bench ; poids Bench + 5 points de pourcentage)</w:t>
            </w:r>
          </w:p>
        </w:tc>
      </w:tr>
      <w:tr>
        <w:trPr>
          <w:cantSplit/>
        </w:trPr>
        <w:tc>
          <w:tcPr>
            <w:tcW w:type="dxa" w:w="2381"/>
            <w:vAlign w:val="center"/>
            <w:tcMar>
              <w:top w:w="85" w:type="dxa"/>
              <w:bottom w:w="85" w:type="dxa"/>
              <w:left w:w="110" w:type="dxa"/>
              <w:right w:w="110" w:type="dxa"/>
            </w:tcMar>
            <w:shd w:fill="F3F7F9"/>
          </w:tcPr>
          <w:p>
            <w:pPr>
              <w:pStyle w:val="TableNormal"/>
            </w:pPr>
            <w:r>
              <w:rPr>
                <w:b/>
              </w:rPr>
              <w:t>Negative</w:t>
            </w:r>
          </w:p>
        </w:tc>
        <w:tc>
          <w:tcPr>
            <w:tcW w:type="dxa" w:w="7200"/>
            <w:vAlign w:val="center"/>
            <w:tcMar>
              <w:top w:w="85" w:type="dxa"/>
              <w:bottom w:w="85" w:type="dxa"/>
              <w:left w:w="110" w:type="dxa"/>
              <w:right w:w="110" w:type="dxa"/>
            </w:tcMar>
            <w:shd w:fill="F3F7F9"/>
          </w:tcPr>
          <w:p>
            <w:pPr>
              <w:pStyle w:val="TableNormal"/>
            </w:pPr>
            <w:r>
              <w:t>min(0,80 × poids Bench ; max(poids Bench − 5 points ; 0))</w:t>
            </w:r>
          </w:p>
        </w:tc>
      </w:tr>
      <w:tr>
        <w:trPr>
          <w:cantSplit/>
        </w:trPr>
        <w:tc>
          <w:tcPr>
            <w:tcW w:type="dxa" w:w="2381"/>
            <w:vAlign w:val="center"/>
            <w:tcMar>
              <w:top w:w="85" w:type="dxa"/>
              <w:bottom w:w="85" w:type="dxa"/>
              <w:left w:w="110" w:type="dxa"/>
              <w:right w:w="110" w:type="dxa"/>
            </w:tcMar>
          </w:tcPr>
          <w:p>
            <w:pPr>
              <w:pStyle w:val="TableNormal"/>
            </w:pPr>
            <w:r>
              <w:rPr>
                <w:b/>
              </w:rPr>
              <w:t>Neutral</w:t>
            </w:r>
          </w:p>
        </w:tc>
        <w:tc>
          <w:tcPr>
            <w:tcW w:type="dxa" w:w="7200"/>
            <w:vAlign w:val="center"/>
            <w:tcMar>
              <w:top w:w="85" w:type="dxa"/>
              <w:bottom w:w="85" w:type="dxa"/>
              <w:left w:w="110" w:type="dxa"/>
              <w:right w:w="110" w:type="dxa"/>
            </w:tcMar>
          </w:tcPr>
          <w:p>
            <w:pPr>
              <w:pStyle w:val="TableNormal"/>
            </w:pPr>
            <w:r>
              <w:t>Poids Bench conservé</w:t>
            </w:r>
          </w:p>
        </w:tc>
      </w:tr>
    </w:tbl>
    <w:p>
      <w:pPr>
        <w:spacing w:after="0"/>
      </w:pPr>
    </w:p>
    <w:p>
      <w:r>
        <w:t>Rendement portefeuille = somme(poids ajusté × rendement) / somme(poids ajustés). Top et Bottom correspondent à la moyenne des rendements des secteurs recommandés ; Long/Short = Top − Bottom. Les courbes sont indexées à 100.</w:t>
      </w:r>
    </w:p>
    <w:p>
      <w:r>
        <w:t>Les vues de performance couvrent 1M, 3M, YTD, 1Y, 3Y, 5Y, l’historique complet et un zoom sur un an. Les résultats sont calculés avant coûts de transaction.</w:t>
      </w:r>
    </w:p>
    <w:p>
      <w:pPr>
        <w:pStyle w:val="Heading1"/>
      </w:pPr>
      <w:r>
        <w:t>10. Repères dans le code</w:t>
      </w:r>
    </w:p>
    <w:tbl>
      <w:tblPr>
        <w:tblStyle w:val="TableGrid"/>
        <w:tblW w:type="auto" w:w="0"/>
        <w:jc w:val="center"/>
        <w:tblLayout w:type="fixed"/>
        <w:tblLook w:firstColumn="1" w:firstRow="1" w:lastColumn="0" w:lastRow="0" w:noHBand="0" w:noVBand="1" w:val="04A0"/>
      </w:tblPr>
      <w:tblGrid>
        <w:gridCol w:w="4791"/>
        <w:gridCol w:w="4791"/>
      </w:tblGrid>
      <w:tr>
        <w:trPr>
          <w:tblHeader/>
          <w:cantSplit/>
        </w:trPr>
        <w:tc>
          <w:tcPr>
            <w:tcW w:type="dxa" w:w="2976"/>
            <w:vAlign w:val="center"/>
            <w:shd w:fill="183049"/>
            <w:tcMar>
              <w:top w:w="85" w:type="dxa"/>
              <w:bottom w:w="85" w:type="dxa"/>
              <w:left w:w="110" w:type="dxa"/>
              <w:right w:w="110" w:type="dxa"/>
            </w:tcMar>
          </w:tcPr>
          <w:p>
            <w:pPr>
              <w:pStyle w:val="TableNormal"/>
            </w:pPr>
            <w:r>
              <w:rPr>
                <w:b/>
                <w:color w:val="FFFFFF"/>
                <w:sz w:val="17"/>
              </w:rPr>
              <w:t>Fichier</w:t>
            </w:r>
          </w:p>
        </w:tc>
        <w:tc>
          <w:tcPr>
            <w:tcW w:type="dxa" w:w="6605"/>
            <w:vAlign w:val="center"/>
            <w:shd w:fill="183049"/>
            <w:tcMar>
              <w:top w:w="85" w:type="dxa"/>
              <w:bottom w:w="85" w:type="dxa"/>
              <w:left w:w="110" w:type="dxa"/>
              <w:right w:w="110" w:type="dxa"/>
            </w:tcMar>
          </w:tcPr>
          <w:p>
            <w:pPr>
              <w:pStyle w:val="TableNormal"/>
            </w:pPr>
            <w:r>
              <w:rPr>
                <w:b/>
                <w:color w:val="FFFFFF"/>
                <w:sz w:val="17"/>
              </w:rPr>
              <w:t>Responsabilité</w:t>
            </w:r>
          </w:p>
        </w:tc>
      </w:tr>
      <w:tr>
        <w:trPr>
          <w:cantSplit/>
        </w:trPr>
        <w:tc>
          <w:tcPr>
            <w:tcW w:type="dxa" w:w="2976"/>
            <w:vAlign w:val="center"/>
            <w:tcMar>
              <w:top w:w="85" w:type="dxa"/>
              <w:bottom w:w="85" w:type="dxa"/>
              <w:left w:w="110" w:type="dxa"/>
              <w:right w:w="110" w:type="dxa"/>
            </w:tcMar>
          </w:tcPr>
          <w:p>
            <w:pPr>
              <w:pStyle w:val="TableNormal"/>
            </w:pPr>
            <w:r>
              <w:rPr>
                <w:b/>
              </w:rPr>
              <w:t>local_config.py</w:t>
            </w:r>
          </w:p>
        </w:tc>
        <w:tc>
          <w:tcPr>
            <w:tcW w:type="dxa" w:w="6605"/>
            <w:vAlign w:val="center"/>
            <w:tcMar>
              <w:top w:w="85" w:type="dxa"/>
              <w:bottom w:w="85" w:type="dxa"/>
              <w:left w:w="110" w:type="dxa"/>
              <w:right w:w="110" w:type="dxa"/>
            </w:tcMar>
          </w:tcPr>
          <w:p>
            <w:pPr>
              <w:pStyle w:val="TableNormal"/>
            </w:pPr>
            <w:r>
              <w:t>Variables, univers, paramètres, compositions et poids.</w:t>
            </w:r>
          </w:p>
        </w:tc>
      </w:tr>
      <w:tr>
        <w:trPr>
          <w:cantSplit/>
        </w:trPr>
        <w:tc>
          <w:tcPr>
            <w:tcW w:type="dxa" w:w="2976"/>
            <w:vAlign w:val="center"/>
            <w:tcMar>
              <w:top w:w="85" w:type="dxa"/>
              <w:bottom w:w="85" w:type="dxa"/>
              <w:left w:w="110" w:type="dxa"/>
              <w:right w:w="110" w:type="dxa"/>
            </w:tcMar>
            <w:shd w:fill="F3F7F9"/>
          </w:tcPr>
          <w:p>
            <w:pPr>
              <w:pStyle w:val="TableNormal"/>
            </w:pPr>
            <w:r>
              <w:rPr>
                <w:b/>
              </w:rPr>
              <w:t>data_utils.py</w:t>
            </w:r>
          </w:p>
        </w:tc>
        <w:tc>
          <w:tcPr>
            <w:tcW w:type="dxa" w:w="6605"/>
            <w:vAlign w:val="center"/>
            <w:tcMar>
              <w:top w:w="85" w:type="dxa"/>
              <w:bottom w:w="85" w:type="dxa"/>
              <w:left w:w="110" w:type="dxa"/>
              <w:right w:w="110" w:type="dxa"/>
            </w:tcMar>
            <w:shd w:fill="F3F7F9"/>
          </w:tcPr>
          <w:p>
            <w:pPr>
              <w:pStyle w:val="TableNormal"/>
            </w:pPr>
            <w:r>
              <w:t>Lecture des fichiers, dates, historique Historique_data.</w:t>
            </w:r>
          </w:p>
        </w:tc>
      </w:tr>
      <w:tr>
        <w:trPr>
          <w:cantSplit/>
        </w:trPr>
        <w:tc>
          <w:tcPr>
            <w:tcW w:type="dxa" w:w="2976"/>
            <w:vAlign w:val="center"/>
            <w:tcMar>
              <w:top w:w="85" w:type="dxa"/>
              <w:bottom w:w="85" w:type="dxa"/>
              <w:left w:w="110" w:type="dxa"/>
              <w:right w:w="110" w:type="dxa"/>
            </w:tcMar>
          </w:tcPr>
          <w:p>
            <w:pPr>
              <w:pStyle w:val="TableNormal"/>
            </w:pPr>
            <w:r>
              <w:rPr>
                <w:b/>
              </w:rPr>
              <w:t>model_secto.py</w:t>
            </w:r>
          </w:p>
        </w:tc>
        <w:tc>
          <w:tcPr>
            <w:tcW w:type="dxa" w:w="6605"/>
            <w:vAlign w:val="center"/>
            <w:tcMar>
              <w:top w:w="85" w:type="dxa"/>
              <w:bottom w:w="85" w:type="dxa"/>
              <w:left w:w="110" w:type="dxa"/>
              <w:right w:w="110" w:type="dxa"/>
            </w:tcMar>
          </w:tcPr>
          <w:p>
            <w:pPr>
              <w:pStyle w:val="TableNormal"/>
            </w:pPr>
            <w:r>
              <w:t>Mesures, sous-scores, piliers, macro, votes et recommandations.</w:t>
            </w:r>
          </w:p>
        </w:tc>
      </w:tr>
      <w:tr>
        <w:trPr>
          <w:cantSplit/>
        </w:trPr>
        <w:tc>
          <w:tcPr>
            <w:tcW w:type="dxa" w:w="2976"/>
            <w:vAlign w:val="center"/>
            <w:tcMar>
              <w:top w:w="85" w:type="dxa"/>
              <w:bottom w:w="85" w:type="dxa"/>
              <w:left w:w="110" w:type="dxa"/>
              <w:right w:w="110" w:type="dxa"/>
            </w:tcMar>
            <w:shd w:fill="F3F7F9"/>
          </w:tcPr>
          <w:p>
            <w:pPr>
              <w:pStyle w:val="TableNormal"/>
            </w:pPr>
            <w:r>
              <w:rPr>
                <w:b/>
              </w:rPr>
              <w:t>excel_output.py</w:t>
            </w:r>
          </w:p>
        </w:tc>
        <w:tc>
          <w:tcPr>
            <w:tcW w:type="dxa" w:w="6605"/>
            <w:vAlign w:val="center"/>
            <w:tcMar>
              <w:top w:w="85" w:type="dxa"/>
              <w:bottom w:w="85" w:type="dxa"/>
              <w:left w:w="110" w:type="dxa"/>
              <w:right w:w="110" w:type="dxa"/>
            </w:tcMar>
            <w:shd w:fill="F3F7F9"/>
          </w:tcPr>
          <w:p>
            <w:pPr>
              <w:pStyle w:val="TableNormal"/>
            </w:pPr>
            <w:r>
              <w:t>Output, portefeuille, exports et mise à jour des modèles XLSM.</w:t>
            </w:r>
          </w:p>
        </w:tc>
      </w:tr>
      <w:tr>
        <w:trPr>
          <w:cantSplit/>
        </w:trPr>
        <w:tc>
          <w:tcPr>
            <w:tcW w:type="dxa" w:w="2976"/>
            <w:vAlign w:val="center"/>
            <w:tcMar>
              <w:top w:w="85" w:type="dxa"/>
              <w:bottom w:w="85" w:type="dxa"/>
              <w:left w:w="110" w:type="dxa"/>
              <w:right w:w="110" w:type="dxa"/>
            </w:tcMar>
          </w:tcPr>
          <w:p>
            <w:pPr>
              <w:pStyle w:val="TableNormal"/>
            </w:pPr>
            <w:r>
              <w:rPr>
                <w:b/>
              </w:rPr>
              <w:t>actualiser_excel.py / Actualiser.bat</w:t>
            </w:r>
          </w:p>
        </w:tc>
        <w:tc>
          <w:tcPr>
            <w:tcW w:type="dxa" w:w="6605"/>
            <w:vAlign w:val="center"/>
            <w:tcMar>
              <w:top w:w="85" w:type="dxa"/>
              <w:bottom w:w="85" w:type="dxa"/>
              <w:left w:w="110" w:type="dxa"/>
              <w:right w:w="110" w:type="dxa"/>
            </w:tcMar>
          </w:tcPr>
          <w:p>
            <w:pPr>
              <w:pStyle w:val="TableNormal"/>
            </w:pPr>
            <w:r>
              <w:t>Séquence mensuelle et rapport d’exécution.</w:t>
            </w:r>
          </w:p>
        </w:tc>
      </w:tr>
      <w:tr>
        <w:trPr>
          <w:cantSplit/>
        </w:trPr>
        <w:tc>
          <w:tcPr>
            <w:tcW w:type="dxa" w:w="2976"/>
            <w:vAlign w:val="center"/>
            <w:tcMar>
              <w:top w:w="85" w:type="dxa"/>
              <w:bottom w:w="85" w:type="dxa"/>
              <w:left w:w="110" w:type="dxa"/>
              <w:right w:w="110" w:type="dxa"/>
            </w:tcMar>
            <w:shd w:fill="F3F7F9"/>
          </w:tcPr>
          <w:p>
            <w:pPr>
              <w:pStyle w:val="TableNormal"/>
            </w:pPr>
            <w:r>
              <w:rPr>
                <w:b/>
              </w:rPr>
              <w:t>research_secto.py / notebooks</w:t>
            </w:r>
          </w:p>
        </w:tc>
        <w:tc>
          <w:tcPr>
            <w:tcW w:type="dxa" w:w="6605"/>
            <w:vAlign w:val="center"/>
            <w:tcMar>
              <w:top w:w="85" w:type="dxa"/>
              <w:bottom w:w="85" w:type="dxa"/>
              <w:left w:w="110" w:type="dxa"/>
              <w:right w:w="110" w:type="dxa"/>
            </w:tcMar>
            <w:shd w:fill="F3F7F9"/>
          </w:tcPr>
          <w:p>
            <w:pPr>
              <w:pStyle w:val="TableNormal"/>
            </w:pPr>
            <w:r>
              <w:t>Recherche sur les signaux et backtests exploratoires.</w:t>
            </w:r>
          </w:p>
        </w:tc>
      </w:tr>
    </w:tbl>
    <w:p>
      <w:pPr>
        <w:spacing w:after="0"/>
      </w:pPr>
    </w:p>
    <w:p>
      <w:r>
        <w:t>Les correspondances techniques de colonnes, les paramètres et les fonctions détaillées sont regroupés dans le code, au plus près de leur utilisation.</w:t>
      </w:r>
    </w:p>
    <w:p>
      <w:r>
        <w:rPr>
          <w:i/>
        </w:rPr>
        <w:t>Les annexes présentent les appels entre les fichiers Python, les transformations détaillées et les règles de décision.</w:t>
      </w:r>
    </w:p>
    <w:p>
      <w:r>
        <w:br w:type="page"/>
      </w:r>
    </w:p>
    <w:p>
      <w:pPr>
        <w:pStyle w:val="Heading1"/>
        <w:keepNext/>
      </w:pPr>
      <w:r>
        <w:t>ANNEXE A — Architecture et appels Python</w:t>
      </w:r>
    </w:p>
    <w:p>
      <w:r>
        <w:t>Le même calcul Python sert aux trois modes : production, reconstruction historique et replay. Le schéma suivant décrit le parcours mensuel de production.</w:t>
      </w:r>
    </w:p>
    <w:tbl>
      <w:tblPr>
        <w:tblStyle w:val="TableGrid"/>
        <w:tblW w:type="auto" w:w="0"/>
        <w:tblLayout w:type="fixed"/>
        <w:tblLook w:firstColumn="1" w:firstRow="1" w:lastColumn="0" w:lastRow="0" w:noHBand="0" w:noVBand="1" w:val="04A0"/>
      </w:tblPr>
      <w:tblGrid>
        <w:gridCol w:w="9582"/>
      </w:tblGrid>
      <w:tr>
        <w:trPr>
          <w:cantSplit/>
        </w:trPr>
        <w:tc>
          <w:tcPr>
            <w:tcW w:type="dxa" w:w="9582"/>
            <w:shd w:fill="EAF2F4"/>
            <w:tcMar>
              <w:top w:w="110" w:type="dxa"/>
              <w:bottom w:w="110" w:type="dxa"/>
              <w:left w:w="120" w:type="dxa"/>
              <w:right w:w="120" w:type="dxa"/>
            </w:tcMar>
          </w:tcPr>
          <w:p>
            <w:pPr>
              <w:pStyle w:val="TableNormal"/>
              <w:jc w:val="center"/>
            </w:pPr>
            <w:r>
              <w:rPr>
                <w:b/>
                <w:color w:val="183049"/>
                <w:sz w:val="18"/>
              </w:rPr>
              <w:t>1  Actualiser.bat / actualiser_excel.main()</w:t>
            </w:r>
          </w:p>
          <w:p>
            <w:pPr>
              <w:pStyle w:val="TableNormal"/>
              <w:jc w:val="center"/>
            </w:pPr>
            <w:r>
              <w:rPr>
                <w:sz w:val="17"/>
              </w:rPr>
              <w:t>Sauvegarder les entrées puis créer SectorModel("EU") et SectorModel("US")</w:t>
            </w:r>
          </w:p>
        </w:tc>
      </w:tr>
    </w:tbl>
    <w:p>
      <w:pPr>
        <w:spacing w:after="0"/>
        <w:jc w:val="center"/>
      </w:pPr>
      <w:r>
        <w:rPr>
          <w:b/>
          <w:color w:val="18646E"/>
        </w:rPr>
        <w:t>↓</w:t>
      </w:r>
    </w:p>
    <w:tbl>
      <w:tblPr>
        <w:tblStyle w:val="TableGrid"/>
        <w:tblW w:type="auto" w:w="0"/>
        <w:tblLayout w:type="fixed"/>
        <w:tblLook w:firstColumn="1" w:firstRow="1" w:lastColumn="0" w:lastRow="0" w:noHBand="0" w:noVBand="1" w:val="04A0"/>
      </w:tblPr>
      <w:tblGrid>
        <w:gridCol w:w="9582"/>
      </w:tblGrid>
      <w:tr>
        <w:trPr>
          <w:cantSplit/>
        </w:trPr>
        <w:tc>
          <w:tcPr>
            <w:tcW w:type="dxa" w:w="9582"/>
            <w:shd w:fill="EAF2F4"/>
            <w:tcMar>
              <w:top w:w="110" w:type="dxa"/>
              <w:bottom w:w="110" w:type="dxa"/>
              <w:left w:w="120" w:type="dxa"/>
              <w:right w:w="120" w:type="dxa"/>
            </w:tcMar>
          </w:tcPr>
          <w:p>
            <w:pPr>
              <w:pStyle w:val="TableNormal"/>
              <w:jc w:val="center"/>
            </w:pPr>
            <w:r>
              <w:rPr>
                <w:b/>
                <w:color w:val="183049"/>
                <w:sz w:val="18"/>
              </w:rPr>
              <w:t>2  model_secto.SectorModel.run_production()</w:t>
            </w:r>
          </w:p>
          <w:p>
            <w:pPr>
              <w:pStyle w:val="TableNormal"/>
              <w:jc w:val="center"/>
            </w:pPr>
            <w:r>
              <w:rPr>
                <w:sz w:val="17"/>
              </w:rPr>
              <w:t>open_workbooks() → load_history() → run_model() → save_history()</w:t>
            </w:r>
          </w:p>
        </w:tc>
      </w:tr>
    </w:tbl>
    <w:p>
      <w:pPr>
        <w:spacing w:after="0"/>
        <w:jc w:val="center"/>
      </w:pPr>
      <w:r>
        <w:rPr>
          <w:b/>
          <w:color w:val="18646E"/>
        </w:rPr>
        <w:t>↓</w:t>
      </w:r>
    </w:p>
    <w:tbl>
      <w:tblPr>
        <w:tblStyle w:val="TableGrid"/>
        <w:tblW w:type="auto" w:w="0"/>
        <w:tblLayout w:type="fixed"/>
        <w:tblLook w:firstColumn="1" w:firstRow="1" w:lastColumn="0" w:lastRow="0" w:noHBand="0" w:noVBand="1" w:val="04A0"/>
      </w:tblPr>
      <w:tblGrid>
        <w:gridCol w:w="9582"/>
      </w:tblGrid>
      <w:tr>
        <w:trPr>
          <w:cantSplit/>
        </w:trPr>
        <w:tc>
          <w:tcPr>
            <w:tcW w:type="dxa" w:w="9582"/>
            <w:shd w:fill="EAF2F4"/>
            <w:tcMar>
              <w:top w:w="110" w:type="dxa"/>
              <w:bottom w:w="110" w:type="dxa"/>
              <w:left w:w="120" w:type="dxa"/>
              <w:right w:w="120" w:type="dxa"/>
            </w:tcMar>
          </w:tcPr>
          <w:p>
            <w:pPr>
              <w:pStyle w:val="TableNormal"/>
              <w:jc w:val="center"/>
            </w:pPr>
            <w:r>
              <w:rPr>
                <w:b/>
                <w:color w:val="183049"/>
                <w:sz w:val="18"/>
              </w:rPr>
              <w:t>3  model_secto.run_model()</w:t>
            </w:r>
          </w:p>
          <w:p>
            <w:pPr>
              <w:pStyle w:val="TableNormal"/>
              <w:jc w:val="center"/>
            </w:pPr>
            <w:r>
              <w:rPr>
                <w:sz w:val="17"/>
              </w:rPr>
              <w:t>Piliers fondamentaux, Momentum, Volatility, benchmark, macro, rangs et votes</w:t>
            </w:r>
          </w:p>
        </w:tc>
      </w:tr>
    </w:tbl>
    <w:p>
      <w:pPr>
        <w:spacing w:after="0"/>
        <w:jc w:val="center"/>
      </w:pPr>
      <w:r>
        <w:rPr>
          <w:b/>
          <w:color w:val="18646E"/>
        </w:rPr>
        <w:t>↓</w:t>
      </w:r>
    </w:p>
    <w:tbl>
      <w:tblPr>
        <w:tblStyle w:val="TableGrid"/>
        <w:tblW w:type="auto" w:w="0"/>
        <w:tblLayout w:type="fixed"/>
        <w:tblLook w:firstColumn="1" w:firstRow="1" w:lastColumn="0" w:lastRow="0" w:noHBand="0" w:noVBand="1" w:val="04A0"/>
      </w:tblPr>
      <w:tblGrid>
        <w:gridCol w:w="9582"/>
      </w:tblGrid>
      <w:tr>
        <w:trPr>
          <w:cantSplit/>
        </w:trPr>
        <w:tc>
          <w:tcPr>
            <w:tcW w:type="dxa" w:w="9582"/>
            <w:shd w:fill="EAF2F4"/>
            <w:tcMar>
              <w:top w:w="110" w:type="dxa"/>
              <w:bottom w:w="110" w:type="dxa"/>
              <w:left w:w="120" w:type="dxa"/>
              <w:right w:w="120" w:type="dxa"/>
            </w:tcMar>
          </w:tcPr>
          <w:p>
            <w:pPr>
              <w:pStyle w:val="TableNormal"/>
              <w:jc w:val="center"/>
            </w:pPr>
            <w:r>
              <w:rPr>
                <w:b/>
                <w:color w:val="183049"/>
                <w:sz w:val="18"/>
              </w:rPr>
              <w:t>4  model_secto.save_production() + excel_output.save_excel()</w:t>
            </w:r>
          </w:p>
          <w:p>
            <w:pPr>
              <w:pStyle w:val="TableNormal"/>
              <w:jc w:val="center"/>
            </w:pPr>
            <w:r>
              <w:rPr>
                <w:sz w:val="17"/>
              </w:rPr>
              <w:t>Exports Excel et grilles Output par marché dans output/</w:t>
            </w:r>
          </w:p>
        </w:tc>
      </w:tr>
    </w:tbl>
    <w:p>
      <w:pPr>
        <w:spacing w:after="0"/>
        <w:jc w:val="center"/>
      </w:pPr>
      <w:r>
        <w:rPr>
          <w:b/>
          <w:color w:val="18646E"/>
        </w:rPr>
        <w:t>↓</w:t>
      </w:r>
    </w:p>
    <w:tbl>
      <w:tblPr>
        <w:tblStyle w:val="TableGrid"/>
        <w:tblW w:type="auto" w:w="0"/>
        <w:tblLayout w:type="fixed"/>
        <w:tblLook w:firstColumn="1" w:firstRow="1" w:lastColumn="0" w:lastRow="0" w:noHBand="0" w:noVBand="1" w:val="04A0"/>
      </w:tblPr>
      <w:tblGrid>
        <w:gridCol w:w="9582"/>
      </w:tblGrid>
      <w:tr>
        <w:trPr>
          <w:cantSplit/>
        </w:trPr>
        <w:tc>
          <w:tcPr>
            <w:tcW w:type="dxa" w:w="9582"/>
            <w:shd w:fill="EAF2F4"/>
            <w:tcMar>
              <w:top w:w="110" w:type="dxa"/>
              <w:bottom w:w="110" w:type="dxa"/>
              <w:left w:w="120" w:type="dxa"/>
              <w:right w:w="120" w:type="dxa"/>
            </w:tcMar>
          </w:tcPr>
          <w:p>
            <w:pPr>
              <w:pStyle w:val="TableNormal"/>
              <w:jc w:val="center"/>
            </w:pPr>
            <w:r>
              <w:rPr>
                <w:b/>
                <w:color w:val="183049"/>
                <w:sz w:val="18"/>
              </w:rPr>
              <w:t>5  excel_output.update_workbooks()</w:t>
            </w:r>
          </w:p>
          <w:p>
            <w:pPr>
              <w:pStyle w:val="TableNormal"/>
              <w:jc w:val="center"/>
            </w:pPr>
            <w:r>
              <w:rPr>
                <w:sz w:val="17"/>
              </w:rPr>
              <w:t>Copies temporaires des XLSM → fill_workbook() → Output, Reco_histo, Dashboard</w:t>
            </w:r>
          </w:p>
        </w:tc>
      </w:tr>
    </w:tbl>
    <w:p>
      <w:pPr>
        <w:pStyle w:val="Heading2"/>
        <w:keepNext/>
      </w:pPr>
      <w:r>
        <w:t>A1. Répartition des responsabilités</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1729"/>
            <w:shd w:fill="183049"/>
            <w:tcMar>
              <w:top w:w="85" w:type="dxa"/>
              <w:bottom w:w="85" w:type="dxa"/>
              <w:left w:w="90" w:type="dxa"/>
              <w:right w:w="90" w:type="dxa"/>
            </w:tcMar>
          </w:tcPr>
          <w:p>
            <w:pPr>
              <w:pStyle w:val="TableNormal"/>
            </w:pPr>
            <w:r>
              <w:rPr>
                <w:b/>
                <w:color w:val="FFFFFF"/>
                <w:sz w:val="16"/>
              </w:rPr>
              <w:t>Module</w:t>
            </w:r>
          </w:p>
        </w:tc>
        <w:tc>
          <w:tcPr>
            <w:tcW w:type="dxa" w:w="5386"/>
            <w:shd w:fill="183049"/>
            <w:tcMar>
              <w:top w:w="85" w:type="dxa"/>
              <w:bottom w:w="85" w:type="dxa"/>
              <w:left w:w="90" w:type="dxa"/>
              <w:right w:w="90" w:type="dxa"/>
            </w:tcMar>
          </w:tcPr>
          <w:p>
            <w:pPr>
              <w:pStyle w:val="TableNormal"/>
            </w:pPr>
            <w:r>
              <w:rPr>
                <w:b/>
                <w:color w:val="FFFFFF"/>
                <w:sz w:val="16"/>
              </w:rPr>
              <w:t>Fonctions principales</w:t>
            </w:r>
          </w:p>
        </w:tc>
        <w:tc>
          <w:tcPr>
            <w:tcW w:type="dxa" w:w="2466"/>
            <w:shd w:fill="183049"/>
            <w:tcMar>
              <w:top w:w="85" w:type="dxa"/>
              <w:bottom w:w="85" w:type="dxa"/>
              <w:left w:w="90" w:type="dxa"/>
              <w:right w:w="90" w:type="dxa"/>
            </w:tcMar>
          </w:tcPr>
          <w:p>
            <w:pPr>
              <w:pStyle w:val="TableNormal"/>
            </w:pPr>
            <w:r>
              <w:rPr>
                <w:b/>
                <w:color w:val="FFFFFF"/>
                <w:sz w:val="16"/>
              </w:rPr>
              <w:t>Résultat</w:t>
            </w:r>
          </w:p>
        </w:tc>
      </w:tr>
      <w:tr>
        <w:trPr>
          <w:cantSplit/>
        </w:trPr>
        <w:tc>
          <w:tcPr>
            <w:tcW w:type="dxa" w:w="1729"/>
            <w:tcMar>
              <w:top w:w="77" w:type="dxa"/>
              <w:bottom w:w="77" w:type="dxa"/>
              <w:left w:w="90" w:type="dxa"/>
              <w:right w:w="90" w:type="dxa"/>
            </w:tcMar>
            <w:vAlign w:val="center"/>
          </w:tcPr>
          <w:p>
            <w:pPr>
              <w:pStyle w:val="TableNormal"/>
            </w:pPr>
            <w:r>
              <w:rPr>
                <w:b/>
                <w:sz w:val="16"/>
              </w:rPr>
              <w:t>local_config.py</w:t>
            </w:r>
          </w:p>
        </w:tc>
        <w:tc>
          <w:tcPr>
            <w:tcW w:type="dxa" w:w="5386"/>
            <w:tcMar>
              <w:top w:w="77" w:type="dxa"/>
              <w:bottom w:w="77" w:type="dxa"/>
              <w:left w:w="90" w:type="dxa"/>
              <w:right w:w="90" w:type="dxa"/>
            </w:tcMar>
            <w:vAlign w:val="center"/>
          </w:tcPr>
          <w:p>
            <w:pPr>
              <w:pStyle w:val="TableNormal"/>
            </w:pPr>
            <w:r>
              <w:rPr>
                <w:sz w:val="16"/>
              </w:rPr>
              <w:t>EU_CONFIG, US_CONFIG, variables, régimes, secteurs</w:t>
            </w:r>
          </w:p>
        </w:tc>
        <w:tc>
          <w:tcPr>
            <w:tcW w:type="dxa" w:w="2466"/>
            <w:tcMar>
              <w:top w:w="77" w:type="dxa"/>
              <w:bottom w:w="77" w:type="dxa"/>
              <w:left w:w="90" w:type="dxa"/>
              <w:right w:w="90" w:type="dxa"/>
            </w:tcMar>
            <w:vAlign w:val="center"/>
          </w:tcPr>
          <w:p>
            <w:pPr>
              <w:pStyle w:val="TableNormal"/>
            </w:pPr>
            <w:r>
              <w:rPr>
                <w:sz w:val="16"/>
              </w:rPr>
              <w:t>Paramètres des deux marchés</w:t>
            </w:r>
          </w:p>
        </w:tc>
      </w:tr>
      <w:tr>
        <w:trPr>
          <w:cantSplit/>
        </w:trPr>
        <w:tc>
          <w:tcPr>
            <w:tcW w:type="dxa" w:w="1729"/>
            <w:tcMar>
              <w:top w:w="77" w:type="dxa"/>
              <w:bottom w:w="77" w:type="dxa"/>
              <w:left w:w="90" w:type="dxa"/>
              <w:right w:w="90" w:type="dxa"/>
            </w:tcMar>
            <w:vAlign w:val="center"/>
            <w:shd w:fill="F4F8FA"/>
          </w:tcPr>
          <w:p>
            <w:pPr>
              <w:pStyle w:val="TableNormal"/>
            </w:pPr>
            <w:r>
              <w:rPr>
                <w:b/>
                <w:sz w:val="16"/>
              </w:rPr>
              <w:t>data_utils.py</w:t>
            </w:r>
          </w:p>
        </w:tc>
        <w:tc>
          <w:tcPr>
            <w:tcW w:type="dxa" w:w="5386"/>
            <w:tcMar>
              <w:top w:w="77" w:type="dxa"/>
              <w:bottom w:w="77" w:type="dxa"/>
              <w:left w:w="90" w:type="dxa"/>
              <w:right w:w="90" w:type="dxa"/>
            </w:tcMar>
            <w:vAlign w:val="center"/>
            <w:shd w:fill="F4F8FA"/>
          </w:tcPr>
          <w:p>
            <w:pPr>
              <w:pStyle w:val="TableNormal"/>
            </w:pPr>
            <w:r>
              <w:rPr>
                <w:sz w:val="16"/>
              </w:rPr>
              <w:t>open_workbooks, read_sector_block, freeze_history, read_benchmark_returns, read_macro_data, save_history</w:t>
            </w:r>
          </w:p>
        </w:tc>
        <w:tc>
          <w:tcPr>
            <w:tcW w:type="dxa" w:w="2466"/>
            <w:tcMar>
              <w:top w:w="77" w:type="dxa"/>
              <w:bottom w:w="77" w:type="dxa"/>
              <w:left w:w="90" w:type="dxa"/>
              <w:right w:w="90" w:type="dxa"/>
            </w:tcMar>
            <w:vAlign w:val="center"/>
            <w:shd w:fill="F4F8FA"/>
          </w:tcPr>
          <w:p>
            <w:pPr>
              <w:pStyle w:val="TableNormal"/>
            </w:pPr>
            <w:r>
              <w:rPr>
                <w:sz w:val="16"/>
              </w:rPr>
              <w:t>Lecture, dates et historique mensuel</w:t>
            </w:r>
          </w:p>
        </w:tc>
      </w:tr>
      <w:tr>
        <w:trPr>
          <w:cantSplit/>
        </w:trPr>
        <w:tc>
          <w:tcPr>
            <w:tcW w:type="dxa" w:w="1729"/>
            <w:tcMar>
              <w:top w:w="77" w:type="dxa"/>
              <w:bottom w:w="77" w:type="dxa"/>
              <w:left w:w="90" w:type="dxa"/>
              <w:right w:w="90" w:type="dxa"/>
            </w:tcMar>
            <w:vAlign w:val="center"/>
          </w:tcPr>
          <w:p>
            <w:pPr>
              <w:pStyle w:val="TableNormal"/>
            </w:pPr>
            <w:r>
              <w:rPr>
                <w:b/>
                <w:sz w:val="16"/>
              </w:rPr>
              <w:t>model_secto.py</w:t>
            </w:r>
          </w:p>
        </w:tc>
        <w:tc>
          <w:tcPr>
            <w:tcW w:type="dxa" w:w="5386"/>
            <w:tcMar>
              <w:top w:w="77" w:type="dxa"/>
              <w:bottom w:w="77" w:type="dxa"/>
              <w:left w:w="90" w:type="dxa"/>
              <w:right w:w="90" w:type="dxa"/>
            </w:tcMar>
            <w:vAlign w:val="center"/>
          </w:tcPr>
          <w:p>
            <w:pPr>
              <w:pStyle w:val="TableNormal"/>
            </w:pPr>
            <w:r>
              <w:rPr>
                <w:sz w:val="16"/>
              </w:rPr>
              <w:t>run_model, compute_historical_pillars, compute_momentum, compute_volatility, build_macro_context, compute_final_results</w:t>
            </w:r>
          </w:p>
        </w:tc>
        <w:tc>
          <w:tcPr>
            <w:tcW w:type="dxa" w:w="2466"/>
            <w:tcMar>
              <w:top w:w="77" w:type="dxa"/>
              <w:bottom w:w="77" w:type="dxa"/>
              <w:left w:w="90" w:type="dxa"/>
              <w:right w:w="90" w:type="dxa"/>
            </w:tcMar>
            <w:vAlign w:val="center"/>
          </w:tcPr>
          <w:p>
            <w:pPr>
              <w:pStyle w:val="TableNormal"/>
            </w:pPr>
            <w:r>
              <w:rPr>
                <w:sz w:val="16"/>
              </w:rPr>
              <w:t>Scores, rangs, contexte et recommandations</w:t>
            </w:r>
          </w:p>
        </w:tc>
      </w:tr>
      <w:tr>
        <w:trPr>
          <w:cantSplit/>
        </w:trPr>
        <w:tc>
          <w:tcPr>
            <w:tcW w:type="dxa" w:w="1729"/>
            <w:tcMar>
              <w:top w:w="77" w:type="dxa"/>
              <w:bottom w:w="77" w:type="dxa"/>
              <w:left w:w="90" w:type="dxa"/>
              <w:right w:w="90" w:type="dxa"/>
            </w:tcMar>
            <w:vAlign w:val="center"/>
            <w:shd w:fill="F4F8FA"/>
          </w:tcPr>
          <w:p>
            <w:pPr>
              <w:pStyle w:val="TableNormal"/>
            </w:pPr>
            <w:r>
              <w:rPr>
                <w:b/>
                <w:sz w:val="16"/>
              </w:rPr>
              <w:t>excel_output.py</w:t>
            </w:r>
          </w:p>
        </w:tc>
        <w:tc>
          <w:tcPr>
            <w:tcW w:type="dxa" w:w="5386"/>
            <w:tcMar>
              <w:top w:w="77" w:type="dxa"/>
              <w:bottom w:w="77" w:type="dxa"/>
              <w:left w:w="90" w:type="dxa"/>
              <w:right w:w="90" w:type="dxa"/>
            </w:tcMar>
            <w:vAlign w:val="center"/>
            <w:shd w:fill="F4F8FA"/>
          </w:tcPr>
          <w:p>
            <w:pPr>
              <w:pStyle w:val="TableNormal"/>
            </w:pPr>
            <w:r>
              <w:rPr>
                <w:sz w:val="16"/>
              </w:rPr>
              <w:t>compute_portfolio, build_output, fill_workbook, update_workbooks</w:t>
            </w:r>
          </w:p>
        </w:tc>
        <w:tc>
          <w:tcPr>
            <w:tcW w:type="dxa" w:w="2466"/>
            <w:tcMar>
              <w:top w:w="77" w:type="dxa"/>
              <w:bottom w:w="77" w:type="dxa"/>
              <w:left w:w="90" w:type="dxa"/>
              <w:right w:w="90" w:type="dxa"/>
            </w:tcMar>
            <w:vAlign w:val="center"/>
            <w:shd w:fill="F4F8FA"/>
          </w:tcPr>
          <w:p>
            <w:pPr>
              <w:pStyle w:val="TableNormal"/>
            </w:pPr>
            <w:r>
              <w:rPr>
                <w:sz w:val="16"/>
              </w:rPr>
              <w:t>Valeurs Output, résultats et graphiques</w:t>
            </w:r>
          </w:p>
        </w:tc>
      </w:tr>
      <w:tr>
        <w:trPr>
          <w:cantSplit/>
        </w:trPr>
        <w:tc>
          <w:tcPr>
            <w:tcW w:type="dxa" w:w="1729"/>
            <w:tcMar>
              <w:top w:w="77" w:type="dxa"/>
              <w:bottom w:w="77" w:type="dxa"/>
              <w:left w:w="90" w:type="dxa"/>
              <w:right w:w="90" w:type="dxa"/>
            </w:tcMar>
            <w:vAlign w:val="center"/>
          </w:tcPr>
          <w:p>
            <w:pPr>
              <w:pStyle w:val="TableNormal"/>
            </w:pPr>
            <w:r>
              <w:rPr>
                <w:b/>
                <w:sz w:val="16"/>
              </w:rPr>
              <w:t>actualiser_excel.py</w:t>
            </w:r>
          </w:p>
        </w:tc>
        <w:tc>
          <w:tcPr>
            <w:tcW w:type="dxa" w:w="5386"/>
            <w:tcMar>
              <w:top w:w="77" w:type="dxa"/>
              <w:bottom w:w="77" w:type="dxa"/>
              <w:left w:w="90" w:type="dxa"/>
              <w:right w:w="90" w:type="dxa"/>
            </w:tcMar>
            <w:vAlign w:val="center"/>
          </w:tcPr>
          <w:p>
            <w:pPr>
              <w:pStyle w:val="TableNormal"/>
            </w:pPr>
            <w:r>
              <w:rPr>
                <w:sz w:val="16"/>
              </w:rPr>
              <w:t>backup_inputs, model_summary, main</w:t>
            </w:r>
          </w:p>
        </w:tc>
        <w:tc>
          <w:tcPr>
            <w:tcW w:type="dxa" w:w="2466"/>
            <w:tcMar>
              <w:top w:w="77" w:type="dxa"/>
              <w:bottom w:w="77" w:type="dxa"/>
              <w:left w:w="90" w:type="dxa"/>
              <w:right w:w="90" w:type="dxa"/>
            </w:tcMar>
            <w:vAlign w:val="center"/>
          </w:tcPr>
          <w:p>
            <w:pPr>
              <w:pStyle w:val="TableNormal"/>
            </w:pPr>
            <w:r>
              <w:rPr>
                <w:sz w:val="16"/>
              </w:rPr>
              <w:t>Orchestration des deux marchés et bilan</w:t>
            </w:r>
          </w:p>
        </w:tc>
      </w:tr>
    </w:tbl>
    <w:p>
      <w:pPr>
        <w:spacing w:after="20"/>
      </w:pPr>
    </w:p>
    <w:p>
      <w:pPr>
        <w:pStyle w:val="Heading2"/>
        <w:keepNext/>
      </w:pPr>
      <w:r>
        <w:t>A2. Flux de données et points d’entrée</w:t>
      </w:r>
    </w:p>
    <w:p>
      <w:r>
        <w:t>Les fichiers Score_Sectoriel_*.xlsm et maj cycle macro2.xlsx apportent les données. data_utils.py les lit avec les règles de local_config.py ; model_secto.py calcule les scores ; excel_output.py actualise les mêmes modèles Excel en conservant le Dashboard.</w:t>
      </w:r>
    </w:p>
    <w:p>
      <w:r>
        <w:t>actualiser_excel.py utilise production par défaut : Excel complète data_history.xlsx, puis Output, Reco_histo et Dashboard sont actualisés. rebuild crée un nouvel historique à partir des Excel ; replay recalcule le modèle à partir du seul historique figé, sans ouvrir Excel. Pour rebuild et replay, régler les paramètres dans l’appel main(...) en fin de script ; les XLSM d’origine restent inchangés.</w:t>
      </w:r>
    </w:p>
    <w:p>
      <w:r>
        <w:t>Après les calculs EU et US, la production actualise Output, Reco_histo et reco_secto_facto.xlsx. Dans ce dernier, la répartition des 19 supersecteurs est expliquée sur l’onglet Mapping. Les macros FactSet/Bloomberg restent distinctes de ce lancement.</w:t>
      </w:r>
    </w:p>
    <w:p>
      <w:r>
        <w:br w:type="page"/>
      </w:r>
    </w:p>
    <w:p>
      <w:pPr>
        <w:pStyle w:val="Heading1"/>
        <w:keepNext/>
      </w:pPr>
      <w:r>
        <w:t>ANNEXE B — Méthodologie des scores</w:t>
      </w:r>
    </w:p>
    <w:p>
      <w:pPr>
        <w:pStyle w:val="Heading2"/>
        <w:keepNext/>
      </w:pPr>
      <w:r>
        <w:t>B1. Variables, sens et transformations</w:t>
      </w:r>
    </w:p>
    <w:p>
      <w:r>
        <w:t>H désigne le rang historique de l’écart à la moyenne sectorielle ; H+X ajoute le rang transversal de la valeur brute. Les notations « favorable bas » et « favorable haut » s’appliquent avant calcul du rang.</w:t>
      </w:r>
    </w:p>
    <w:tbl>
      <w:tblPr>
        <w:tblStyle w:val="TableGrid"/>
        <w:tblW w:type="auto" w:w="0"/>
        <w:jc w:val="center"/>
        <w:tblLayout w:type="fixed"/>
        <w:tblLook w:firstColumn="1" w:firstRow="1" w:lastColumn="0" w:lastRow="0" w:noHBand="0" w:noVBand="1" w:val="04A0"/>
      </w:tblPr>
      <w:tblGrid>
        <w:gridCol w:w="1916"/>
        <w:gridCol w:w="1916"/>
        <w:gridCol w:w="1916"/>
        <w:gridCol w:w="1916"/>
        <w:gridCol w:w="1916"/>
      </w:tblGrid>
      <w:tr>
        <w:trPr>
          <w:tblHeader/>
          <w:cantSplit/>
        </w:trPr>
        <w:tc>
          <w:tcPr>
            <w:tcW w:type="dxa" w:w="1389"/>
            <w:shd w:fill="183049"/>
            <w:tcMar>
              <w:top w:w="85" w:type="dxa"/>
              <w:bottom w:w="85" w:type="dxa"/>
              <w:left w:w="90" w:type="dxa"/>
              <w:right w:w="90" w:type="dxa"/>
            </w:tcMar>
          </w:tcPr>
          <w:p>
            <w:pPr>
              <w:pStyle w:val="TableNormal"/>
            </w:pPr>
            <w:r>
              <w:rPr>
                <w:b/>
                <w:color w:val="FFFFFF"/>
                <w:sz w:val="16"/>
              </w:rPr>
              <w:t>Pilier</w:t>
            </w:r>
          </w:p>
        </w:tc>
        <w:tc>
          <w:tcPr>
            <w:tcW w:type="dxa" w:w="3798"/>
            <w:shd w:fill="183049"/>
            <w:tcMar>
              <w:top w:w="85" w:type="dxa"/>
              <w:bottom w:w="85" w:type="dxa"/>
              <w:left w:w="90" w:type="dxa"/>
              <w:right w:w="90" w:type="dxa"/>
            </w:tcMar>
          </w:tcPr>
          <w:p>
            <w:pPr>
              <w:pStyle w:val="TableNormal"/>
            </w:pPr>
            <w:r>
              <w:rPr>
                <w:b/>
                <w:color w:val="FFFFFF"/>
                <w:sz w:val="16"/>
              </w:rPr>
              <w:t>Variable</w:t>
            </w:r>
          </w:p>
        </w:tc>
        <w:tc>
          <w:tcPr>
            <w:tcW w:type="dxa" w:w="794"/>
            <w:shd w:fill="183049"/>
            <w:tcMar>
              <w:top w:w="85" w:type="dxa"/>
              <w:bottom w:w="85" w:type="dxa"/>
              <w:left w:w="90" w:type="dxa"/>
              <w:right w:w="90" w:type="dxa"/>
            </w:tcMar>
          </w:tcPr>
          <w:p>
            <w:pPr>
              <w:pStyle w:val="TableNormal"/>
            </w:pPr>
            <w:r>
              <w:rPr>
                <w:b/>
                <w:color w:val="FFFFFF"/>
                <w:sz w:val="16"/>
              </w:rPr>
              <w:t>Sens</w:t>
            </w:r>
          </w:p>
        </w:tc>
        <w:tc>
          <w:tcPr>
            <w:tcW w:type="dxa" w:w="1757"/>
            <w:shd w:fill="183049"/>
            <w:tcMar>
              <w:top w:w="85" w:type="dxa"/>
              <w:bottom w:w="85" w:type="dxa"/>
              <w:left w:w="90" w:type="dxa"/>
              <w:right w:w="90" w:type="dxa"/>
            </w:tcMar>
          </w:tcPr>
          <w:p>
            <w:pPr>
              <w:pStyle w:val="TableNormal"/>
            </w:pPr>
            <w:r>
              <w:rPr>
                <w:b/>
                <w:color w:val="FFFFFF"/>
                <w:sz w:val="16"/>
              </w:rPr>
              <w:t>EU</w:t>
            </w:r>
          </w:p>
        </w:tc>
        <w:tc>
          <w:tcPr>
            <w:tcW w:type="dxa" w:w="1843"/>
            <w:shd w:fill="183049"/>
            <w:tcMar>
              <w:top w:w="85" w:type="dxa"/>
              <w:bottom w:w="85" w:type="dxa"/>
              <w:left w:w="90" w:type="dxa"/>
              <w:right w:w="90" w:type="dxa"/>
            </w:tcMar>
          </w:tcPr>
          <w:p>
            <w:pPr>
              <w:pStyle w:val="TableNormal"/>
            </w:pPr>
            <w:r>
              <w:rPr>
                <w:b/>
                <w:color w:val="FFFFFF"/>
                <w:sz w:val="16"/>
              </w:rPr>
              <w:t>US</w:t>
            </w:r>
          </w:p>
        </w:tc>
      </w:tr>
      <w:tr>
        <w:trPr>
          <w:cantSplit/>
        </w:trPr>
        <w:tc>
          <w:tcPr>
            <w:tcW w:type="dxa" w:w="1389"/>
            <w:tcMar>
              <w:top w:w="77" w:type="dxa"/>
              <w:bottom w:w="77" w:type="dxa"/>
              <w:left w:w="90" w:type="dxa"/>
              <w:right w:w="90" w:type="dxa"/>
            </w:tcMar>
            <w:vAlign w:val="center"/>
          </w:tcPr>
          <w:p>
            <w:pPr>
              <w:pStyle w:val="TableNormal"/>
            </w:pPr>
            <w:r>
              <w:rPr>
                <w:b/>
                <w:sz w:val="16"/>
              </w:rPr>
              <w:t>Leverage</w:t>
            </w:r>
          </w:p>
        </w:tc>
        <w:tc>
          <w:tcPr>
            <w:tcW w:type="dxa" w:w="3798"/>
            <w:tcMar>
              <w:top w:w="77" w:type="dxa"/>
              <w:bottom w:w="77" w:type="dxa"/>
              <w:left w:w="90" w:type="dxa"/>
              <w:right w:w="90" w:type="dxa"/>
            </w:tcMar>
            <w:vAlign w:val="center"/>
          </w:tcPr>
          <w:p>
            <w:pPr>
              <w:pStyle w:val="TableNormal"/>
            </w:pPr>
            <w:r>
              <w:rPr>
                <w:sz w:val="16"/>
              </w:rPr>
              <w:t>net_debt_ebitda</w:t>
            </w:r>
          </w:p>
        </w:tc>
        <w:tc>
          <w:tcPr>
            <w:tcW w:type="dxa" w:w="794"/>
            <w:tcMar>
              <w:top w:w="77" w:type="dxa"/>
              <w:bottom w:w="77" w:type="dxa"/>
              <w:left w:w="90" w:type="dxa"/>
              <w:right w:w="90" w:type="dxa"/>
            </w:tcMar>
            <w:vAlign w:val="center"/>
          </w:tcPr>
          <w:p>
            <w:pPr>
              <w:pStyle w:val="TableNormal"/>
            </w:pPr>
            <w:r>
              <w:rPr>
                <w:sz w:val="16"/>
              </w:rPr>
              <w:t>Bas</w:t>
            </w:r>
          </w:p>
        </w:tc>
        <w:tc>
          <w:tcPr>
            <w:tcW w:type="dxa" w:w="1757"/>
            <w:tcMar>
              <w:top w:w="77" w:type="dxa"/>
              <w:bottom w:w="77" w:type="dxa"/>
              <w:left w:w="90" w:type="dxa"/>
              <w:right w:w="90" w:type="dxa"/>
            </w:tcMar>
            <w:vAlign w:val="center"/>
          </w:tcPr>
          <w:p>
            <w:pPr>
              <w:pStyle w:val="TableNormal"/>
            </w:pPr>
            <w:r>
              <w:rPr>
                <w:sz w:val="16"/>
              </w:rPr>
              <w:t>H</w:t>
            </w:r>
          </w:p>
        </w:tc>
        <w:tc>
          <w:tcPr>
            <w:tcW w:type="dxa" w:w="1843"/>
            <w:tcMar>
              <w:top w:w="77" w:type="dxa"/>
              <w:bottom w:w="77" w:type="dxa"/>
              <w:left w:w="90" w:type="dxa"/>
              <w:right w:w="90" w:type="dxa"/>
            </w:tcMar>
            <w:vAlign w:val="center"/>
          </w:tcPr>
          <w:p>
            <w:pPr>
              <w:pStyle w:val="TableNormal"/>
            </w:pPr>
            <w:r>
              <w:rPr>
                <w:sz w:val="16"/>
              </w:rPr>
              <w:t>H+X</w:t>
            </w:r>
          </w:p>
        </w:tc>
      </w:tr>
      <w:tr>
        <w:trPr>
          <w:cantSplit/>
        </w:trPr>
        <w:tc>
          <w:tcPr>
            <w:tcW w:type="dxa" w:w="1389"/>
            <w:tcMar>
              <w:top w:w="77" w:type="dxa"/>
              <w:bottom w:w="77" w:type="dxa"/>
              <w:left w:w="90" w:type="dxa"/>
              <w:right w:w="90" w:type="dxa"/>
            </w:tcMar>
            <w:vAlign w:val="center"/>
            <w:shd w:fill="F4F8FA"/>
          </w:tcPr>
          <w:p>
            <w:pPr>
              <w:pStyle w:val="TableNormal"/>
            </w:pPr>
            <w:r>
              <w:rPr>
                <w:b/>
                <w:sz w:val="16"/>
              </w:rPr>
            </w:r>
          </w:p>
        </w:tc>
        <w:tc>
          <w:tcPr>
            <w:tcW w:type="dxa" w:w="3798"/>
            <w:tcMar>
              <w:top w:w="77" w:type="dxa"/>
              <w:bottom w:w="77" w:type="dxa"/>
              <w:left w:w="90" w:type="dxa"/>
              <w:right w:w="90" w:type="dxa"/>
            </w:tcMar>
            <w:vAlign w:val="center"/>
            <w:shd w:fill="F4F8FA"/>
          </w:tcPr>
          <w:p>
            <w:pPr>
              <w:pStyle w:val="TableNormal"/>
            </w:pPr>
            <w:r>
              <w:rPr>
                <w:sz w:val="16"/>
              </w:rPr>
              <w:t>fcf_total_debt</w:t>
            </w:r>
          </w:p>
        </w:tc>
        <w:tc>
          <w:tcPr>
            <w:tcW w:type="dxa" w:w="794"/>
            <w:tcMar>
              <w:top w:w="77" w:type="dxa"/>
              <w:bottom w:w="77" w:type="dxa"/>
              <w:left w:w="90" w:type="dxa"/>
              <w:right w:w="90" w:type="dxa"/>
            </w:tcMar>
            <w:vAlign w:val="center"/>
            <w:shd w:fill="F4F8FA"/>
          </w:tcPr>
          <w:p>
            <w:pPr>
              <w:pStyle w:val="TableNormal"/>
            </w:pPr>
            <w:r>
              <w:rPr>
                <w:sz w:val="16"/>
              </w:rPr>
              <w:t>Haut</w:t>
            </w:r>
          </w:p>
        </w:tc>
        <w:tc>
          <w:tcPr>
            <w:tcW w:type="dxa" w:w="1757"/>
            <w:tcMar>
              <w:top w:w="77" w:type="dxa"/>
              <w:bottom w:w="77" w:type="dxa"/>
              <w:left w:w="90" w:type="dxa"/>
              <w:right w:w="90" w:type="dxa"/>
            </w:tcMar>
            <w:vAlign w:val="center"/>
            <w:shd w:fill="F4F8FA"/>
          </w:tcPr>
          <w:p>
            <w:pPr>
              <w:pStyle w:val="TableNormal"/>
            </w:pPr>
            <w:r>
              <w:rPr>
                <w:sz w:val="16"/>
              </w:rPr>
              <w:t>H</w:t>
            </w:r>
          </w:p>
        </w:tc>
        <w:tc>
          <w:tcPr>
            <w:tcW w:type="dxa" w:w="1843"/>
            <w:tcMar>
              <w:top w:w="77" w:type="dxa"/>
              <w:bottom w:w="77" w:type="dxa"/>
              <w:left w:w="90" w:type="dxa"/>
              <w:right w:w="90" w:type="dxa"/>
            </w:tcMar>
            <w:vAlign w:val="center"/>
            <w:shd w:fill="F4F8FA"/>
          </w:tcPr>
          <w:p>
            <w:pPr>
              <w:pStyle w:val="TableNormal"/>
            </w:pPr>
            <w:r>
              <w:rPr>
                <w:sz w:val="16"/>
              </w:rPr>
              <w:t>H+X</w:t>
            </w:r>
          </w:p>
        </w:tc>
      </w:tr>
      <w:tr>
        <w:trPr>
          <w:cantSplit/>
        </w:trPr>
        <w:tc>
          <w:tcPr>
            <w:tcW w:type="dxa" w:w="1389"/>
            <w:tcMar>
              <w:top w:w="77" w:type="dxa"/>
              <w:bottom w:w="77" w:type="dxa"/>
              <w:left w:w="90" w:type="dxa"/>
              <w:right w:w="90" w:type="dxa"/>
            </w:tcMar>
            <w:vAlign w:val="center"/>
          </w:tcPr>
          <w:p>
            <w:pPr>
              <w:pStyle w:val="TableNormal"/>
            </w:pPr>
            <w:r>
              <w:rPr>
                <w:b/>
                <w:sz w:val="16"/>
              </w:rPr>
            </w:r>
          </w:p>
        </w:tc>
        <w:tc>
          <w:tcPr>
            <w:tcW w:type="dxa" w:w="3798"/>
            <w:tcMar>
              <w:top w:w="77" w:type="dxa"/>
              <w:bottom w:w="77" w:type="dxa"/>
              <w:left w:w="90" w:type="dxa"/>
              <w:right w:w="90" w:type="dxa"/>
            </w:tcMar>
            <w:vAlign w:val="center"/>
          </w:tcPr>
          <w:p>
            <w:pPr>
              <w:pStyle w:val="TableNormal"/>
            </w:pPr>
            <w:r>
              <w:rPr>
                <w:sz w:val="16"/>
              </w:rPr>
              <w:t>debt_equity</w:t>
            </w:r>
          </w:p>
        </w:tc>
        <w:tc>
          <w:tcPr>
            <w:tcW w:type="dxa" w:w="794"/>
            <w:tcMar>
              <w:top w:w="77" w:type="dxa"/>
              <w:bottom w:w="77" w:type="dxa"/>
              <w:left w:w="90" w:type="dxa"/>
              <w:right w:w="90" w:type="dxa"/>
            </w:tcMar>
            <w:vAlign w:val="center"/>
          </w:tcPr>
          <w:p>
            <w:pPr>
              <w:pStyle w:val="TableNormal"/>
            </w:pPr>
            <w:r>
              <w:rPr>
                <w:sz w:val="16"/>
              </w:rPr>
              <w:t>Bas</w:t>
            </w:r>
          </w:p>
        </w:tc>
        <w:tc>
          <w:tcPr>
            <w:tcW w:type="dxa" w:w="1757"/>
            <w:tcMar>
              <w:top w:w="77" w:type="dxa"/>
              <w:bottom w:w="77" w:type="dxa"/>
              <w:left w:w="90" w:type="dxa"/>
              <w:right w:w="90" w:type="dxa"/>
            </w:tcMar>
            <w:vAlign w:val="center"/>
          </w:tcPr>
          <w:p>
            <w:pPr>
              <w:pStyle w:val="TableNormal"/>
            </w:pPr>
            <w:r>
              <w:rPr>
                <w:sz w:val="16"/>
              </w:rPr>
              <w:t>H</w:t>
            </w:r>
          </w:p>
        </w:tc>
        <w:tc>
          <w:tcPr>
            <w:tcW w:type="dxa" w:w="1843"/>
            <w:tcMar>
              <w:top w:w="77" w:type="dxa"/>
              <w:bottom w:w="77" w:type="dxa"/>
              <w:left w:w="90" w:type="dxa"/>
              <w:right w:w="90" w:type="dxa"/>
            </w:tcMar>
            <w:vAlign w:val="center"/>
          </w:tcPr>
          <w:p>
            <w:pPr>
              <w:pStyle w:val="TableNormal"/>
            </w:pPr>
            <w:r>
              <w:rPr>
                <w:sz w:val="16"/>
              </w:rPr>
              <w:t>—</w:t>
            </w:r>
          </w:p>
        </w:tc>
      </w:tr>
      <w:tr>
        <w:trPr>
          <w:cantSplit/>
        </w:trPr>
        <w:tc>
          <w:tcPr>
            <w:tcW w:type="dxa" w:w="1389"/>
            <w:tcMar>
              <w:top w:w="77" w:type="dxa"/>
              <w:bottom w:w="77" w:type="dxa"/>
              <w:left w:w="90" w:type="dxa"/>
              <w:right w:w="90" w:type="dxa"/>
            </w:tcMar>
            <w:vAlign w:val="center"/>
            <w:shd w:fill="F4F8FA"/>
          </w:tcPr>
          <w:p>
            <w:pPr>
              <w:pStyle w:val="TableNormal"/>
            </w:pPr>
            <w:r>
              <w:rPr>
                <w:b/>
                <w:sz w:val="16"/>
              </w:rPr>
              <w:t>Margin</w:t>
            </w:r>
          </w:p>
        </w:tc>
        <w:tc>
          <w:tcPr>
            <w:tcW w:type="dxa" w:w="3798"/>
            <w:tcMar>
              <w:top w:w="77" w:type="dxa"/>
              <w:bottom w:w="77" w:type="dxa"/>
              <w:left w:w="90" w:type="dxa"/>
              <w:right w:w="90" w:type="dxa"/>
            </w:tcMar>
            <w:vAlign w:val="center"/>
            <w:shd w:fill="F4F8FA"/>
          </w:tcPr>
          <w:p>
            <w:pPr>
              <w:pStyle w:val="TableNormal"/>
            </w:pPr>
            <w:r>
              <w:rPr>
                <w:sz w:val="16"/>
              </w:rPr>
              <w:t>operating_margin, net_margin, ebitda_margin</w:t>
            </w:r>
          </w:p>
        </w:tc>
        <w:tc>
          <w:tcPr>
            <w:tcW w:type="dxa" w:w="794"/>
            <w:tcMar>
              <w:top w:w="77" w:type="dxa"/>
              <w:bottom w:w="77" w:type="dxa"/>
              <w:left w:w="90" w:type="dxa"/>
              <w:right w:w="90" w:type="dxa"/>
            </w:tcMar>
            <w:vAlign w:val="center"/>
            <w:shd w:fill="F4F8FA"/>
          </w:tcPr>
          <w:p>
            <w:pPr>
              <w:pStyle w:val="TableNormal"/>
            </w:pPr>
            <w:r>
              <w:rPr>
                <w:sz w:val="16"/>
              </w:rPr>
              <w:t>Haut</w:t>
            </w:r>
          </w:p>
        </w:tc>
        <w:tc>
          <w:tcPr>
            <w:tcW w:type="dxa" w:w="1757"/>
            <w:tcMar>
              <w:top w:w="77" w:type="dxa"/>
              <w:bottom w:w="77" w:type="dxa"/>
              <w:left w:w="90" w:type="dxa"/>
              <w:right w:w="90" w:type="dxa"/>
            </w:tcMar>
            <w:vAlign w:val="center"/>
            <w:shd w:fill="F4F8FA"/>
          </w:tcPr>
          <w:p>
            <w:pPr>
              <w:pStyle w:val="TableNormal"/>
            </w:pPr>
            <w:r>
              <w:rPr>
                <w:sz w:val="16"/>
              </w:rPr>
              <w:t>H+X</w:t>
            </w:r>
          </w:p>
        </w:tc>
        <w:tc>
          <w:tcPr>
            <w:tcW w:type="dxa" w:w="1843"/>
            <w:tcMar>
              <w:top w:w="77" w:type="dxa"/>
              <w:bottom w:w="77" w:type="dxa"/>
              <w:left w:w="90" w:type="dxa"/>
              <w:right w:w="90" w:type="dxa"/>
            </w:tcMar>
            <w:vAlign w:val="center"/>
            <w:shd w:fill="F4F8FA"/>
          </w:tcPr>
          <w:p>
            <w:pPr>
              <w:pStyle w:val="TableNormal"/>
            </w:pPr>
            <w:r>
              <w:rPr>
                <w:sz w:val="16"/>
              </w:rPr>
              <w:t>H+X</w:t>
            </w:r>
          </w:p>
        </w:tc>
      </w:tr>
      <w:tr>
        <w:trPr>
          <w:cantSplit/>
        </w:trPr>
        <w:tc>
          <w:tcPr>
            <w:tcW w:type="dxa" w:w="1389"/>
            <w:tcMar>
              <w:top w:w="77" w:type="dxa"/>
              <w:bottom w:w="77" w:type="dxa"/>
              <w:left w:w="90" w:type="dxa"/>
              <w:right w:w="90" w:type="dxa"/>
            </w:tcMar>
            <w:vAlign w:val="center"/>
          </w:tcPr>
          <w:p>
            <w:pPr>
              <w:pStyle w:val="TableNormal"/>
            </w:pPr>
            <w:r>
              <w:rPr>
                <w:b/>
                <w:sz w:val="16"/>
              </w:rPr>
              <w:t>Value</w:t>
            </w:r>
          </w:p>
        </w:tc>
        <w:tc>
          <w:tcPr>
            <w:tcW w:type="dxa" w:w="3798"/>
            <w:tcMar>
              <w:top w:w="77" w:type="dxa"/>
              <w:bottom w:w="77" w:type="dxa"/>
              <w:left w:w="90" w:type="dxa"/>
              <w:right w:w="90" w:type="dxa"/>
            </w:tcMar>
            <w:vAlign w:val="center"/>
          </w:tcPr>
          <w:p>
            <w:pPr>
              <w:pStyle w:val="TableNormal"/>
            </w:pPr>
            <w:r>
              <w:rPr>
                <w:sz w:val="16"/>
              </w:rPr>
              <w:t>pe</w:t>
            </w:r>
          </w:p>
        </w:tc>
        <w:tc>
          <w:tcPr>
            <w:tcW w:type="dxa" w:w="794"/>
            <w:tcMar>
              <w:top w:w="77" w:type="dxa"/>
              <w:bottom w:w="77" w:type="dxa"/>
              <w:left w:w="90" w:type="dxa"/>
              <w:right w:w="90" w:type="dxa"/>
            </w:tcMar>
            <w:vAlign w:val="center"/>
          </w:tcPr>
          <w:p>
            <w:pPr>
              <w:pStyle w:val="TableNormal"/>
            </w:pPr>
            <w:r>
              <w:rPr>
                <w:sz w:val="16"/>
              </w:rPr>
              <w:t>Bas</w:t>
            </w:r>
          </w:p>
        </w:tc>
        <w:tc>
          <w:tcPr>
            <w:tcW w:type="dxa" w:w="1757"/>
            <w:tcMar>
              <w:top w:w="77" w:type="dxa"/>
              <w:bottom w:w="77" w:type="dxa"/>
              <w:left w:w="90" w:type="dxa"/>
              <w:right w:w="90" w:type="dxa"/>
            </w:tcMar>
            <w:vAlign w:val="center"/>
          </w:tcPr>
          <w:p>
            <w:pPr>
              <w:pStyle w:val="TableNormal"/>
            </w:pPr>
            <w:r>
              <w:rPr>
                <w:sz w:val="16"/>
              </w:rPr>
              <w:t>—</w:t>
            </w:r>
          </w:p>
        </w:tc>
        <w:tc>
          <w:tcPr>
            <w:tcW w:type="dxa" w:w="1843"/>
            <w:tcMar>
              <w:top w:w="77" w:type="dxa"/>
              <w:bottom w:w="77" w:type="dxa"/>
              <w:left w:w="90" w:type="dxa"/>
              <w:right w:w="90" w:type="dxa"/>
            </w:tcMar>
            <w:vAlign w:val="center"/>
          </w:tcPr>
          <w:p>
            <w:pPr>
              <w:pStyle w:val="TableNormal"/>
            </w:pPr>
            <w:r>
              <w:rPr>
                <w:sz w:val="16"/>
              </w:rPr>
              <w:t>H</w:t>
            </w:r>
          </w:p>
        </w:tc>
      </w:tr>
      <w:tr>
        <w:trPr>
          <w:cantSplit/>
        </w:trPr>
        <w:tc>
          <w:tcPr>
            <w:tcW w:type="dxa" w:w="1389"/>
            <w:tcMar>
              <w:top w:w="77" w:type="dxa"/>
              <w:bottom w:w="77" w:type="dxa"/>
              <w:left w:w="90" w:type="dxa"/>
              <w:right w:w="90" w:type="dxa"/>
            </w:tcMar>
            <w:vAlign w:val="center"/>
            <w:shd w:fill="F4F8FA"/>
          </w:tcPr>
          <w:p>
            <w:pPr>
              <w:pStyle w:val="TableNormal"/>
            </w:pPr>
            <w:r>
              <w:rPr>
                <w:b/>
                <w:sz w:val="16"/>
              </w:rPr>
            </w:r>
          </w:p>
        </w:tc>
        <w:tc>
          <w:tcPr>
            <w:tcW w:type="dxa" w:w="3798"/>
            <w:tcMar>
              <w:top w:w="77" w:type="dxa"/>
              <w:bottom w:w="77" w:type="dxa"/>
              <w:left w:w="90" w:type="dxa"/>
              <w:right w:w="90" w:type="dxa"/>
            </w:tcMar>
            <w:vAlign w:val="center"/>
            <w:shd w:fill="F4F8FA"/>
          </w:tcPr>
          <w:p>
            <w:pPr>
              <w:pStyle w:val="TableNormal"/>
            </w:pPr>
            <w:r>
              <w:rPr>
                <w:sz w:val="16"/>
              </w:rPr>
              <w:t>price_fcf, ev_ebitda, price_sales</w:t>
            </w:r>
          </w:p>
        </w:tc>
        <w:tc>
          <w:tcPr>
            <w:tcW w:type="dxa" w:w="794"/>
            <w:tcMar>
              <w:top w:w="77" w:type="dxa"/>
              <w:bottom w:w="77" w:type="dxa"/>
              <w:left w:w="90" w:type="dxa"/>
              <w:right w:w="90" w:type="dxa"/>
            </w:tcMar>
            <w:vAlign w:val="center"/>
            <w:shd w:fill="F4F8FA"/>
          </w:tcPr>
          <w:p>
            <w:pPr>
              <w:pStyle w:val="TableNormal"/>
            </w:pPr>
            <w:r>
              <w:rPr>
                <w:sz w:val="16"/>
              </w:rPr>
              <w:t>Bas</w:t>
            </w:r>
          </w:p>
        </w:tc>
        <w:tc>
          <w:tcPr>
            <w:tcW w:type="dxa" w:w="1757"/>
            <w:tcMar>
              <w:top w:w="77" w:type="dxa"/>
              <w:bottom w:w="77" w:type="dxa"/>
              <w:left w:w="90" w:type="dxa"/>
              <w:right w:w="90" w:type="dxa"/>
            </w:tcMar>
            <w:vAlign w:val="center"/>
            <w:shd w:fill="F4F8FA"/>
          </w:tcPr>
          <w:p>
            <w:pPr>
              <w:pStyle w:val="TableNormal"/>
            </w:pPr>
            <w:r>
              <w:rPr>
                <w:sz w:val="16"/>
              </w:rPr>
              <w:t>H</w:t>
            </w:r>
          </w:p>
        </w:tc>
        <w:tc>
          <w:tcPr>
            <w:tcW w:type="dxa" w:w="1843"/>
            <w:tcMar>
              <w:top w:w="77" w:type="dxa"/>
              <w:bottom w:w="77" w:type="dxa"/>
              <w:left w:w="90" w:type="dxa"/>
              <w:right w:w="90" w:type="dxa"/>
            </w:tcMar>
            <w:vAlign w:val="center"/>
            <w:shd w:fill="F4F8FA"/>
          </w:tcPr>
          <w:p>
            <w:pPr>
              <w:pStyle w:val="TableNormal"/>
            </w:pPr>
            <w:r>
              <w:rPr>
                <w:sz w:val="16"/>
              </w:rPr>
              <w:t>H</w:t>
            </w:r>
          </w:p>
        </w:tc>
      </w:tr>
      <w:tr>
        <w:trPr>
          <w:cantSplit/>
        </w:trPr>
        <w:tc>
          <w:tcPr>
            <w:tcW w:type="dxa" w:w="1389"/>
            <w:tcMar>
              <w:top w:w="77" w:type="dxa"/>
              <w:bottom w:w="77" w:type="dxa"/>
              <w:left w:w="90" w:type="dxa"/>
              <w:right w:w="90" w:type="dxa"/>
            </w:tcMar>
            <w:vAlign w:val="center"/>
          </w:tcPr>
          <w:p>
            <w:pPr>
              <w:pStyle w:val="TableNormal"/>
            </w:pPr>
            <w:r>
              <w:rPr>
                <w:b/>
                <w:sz w:val="16"/>
              </w:rPr>
              <w:t>Growth</w:t>
            </w:r>
          </w:p>
        </w:tc>
        <w:tc>
          <w:tcPr>
            <w:tcW w:type="dxa" w:w="3798"/>
            <w:tcMar>
              <w:top w:w="77" w:type="dxa"/>
              <w:bottom w:w="77" w:type="dxa"/>
              <w:left w:w="90" w:type="dxa"/>
              <w:right w:w="90" w:type="dxa"/>
            </w:tcMar>
            <w:vAlign w:val="center"/>
          </w:tcPr>
          <w:p>
            <w:pPr>
              <w:pStyle w:val="TableNormal"/>
            </w:pPr>
            <w:r>
              <w:rPr>
                <w:sz w:val="16"/>
              </w:rPr>
              <w:t>eps_growth, sales_growth, ebitda_growth</w:t>
            </w:r>
          </w:p>
        </w:tc>
        <w:tc>
          <w:tcPr>
            <w:tcW w:type="dxa" w:w="794"/>
            <w:tcMar>
              <w:top w:w="77" w:type="dxa"/>
              <w:bottom w:w="77" w:type="dxa"/>
              <w:left w:w="90" w:type="dxa"/>
              <w:right w:w="90" w:type="dxa"/>
            </w:tcMar>
            <w:vAlign w:val="center"/>
          </w:tcPr>
          <w:p>
            <w:pPr>
              <w:pStyle w:val="TableNormal"/>
            </w:pPr>
            <w:r>
              <w:rPr>
                <w:sz w:val="16"/>
              </w:rPr>
              <w:t>Haut</w:t>
            </w:r>
          </w:p>
        </w:tc>
        <w:tc>
          <w:tcPr>
            <w:tcW w:type="dxa" w:w="1757"/>
            <w:tcMar>
              <w:top w:w="77" w:type="dxa"/>
              <w:bottom w:w="77" w:type="dxa"/>
              <w:left w:w="90" w:type="dxa"/>
              <w:right w:w="90" w:type="dxa"/>
            </w:tcMar>
            <w:vAlign w:val="center"/>
          </w:tcPr>
          <w:p>
            <w:pPr>
              <w:pStyle w:val="TableNormal"/>
            </w:pPr>
            <w:r>
              <w:rPr>
                <w:sz w:val="16"/>
              </w:rPr>
              <w:t>H</w:t>
            </w:r>
          </w:p>
        </w:tc>
        <w:tc>
          <w:tcPr>
            <w:tcW w:type="dxa" w:w="1843"/>
            <w:tcMar>
              <w:top w:w="77" w:type="dxa"/>
              <w:bottom w:w="77" w:type="dxa"/>
              <w:left w:w="90" w:type="dxa"/>
              <w:right w:w="90" w:type="dxa"/>
            </w:tcMar>
            <w:vAlign w:val="center"/>
          </w:tcPr>
          <w:p>
            <w:pPr>
              <w:pStyle w:val="TableNormal"/>
            </w:pPr>
            <w:r>
              <w:rPr>
                <w:sz w:val="16"/>
              </w:rPr>
              <w:t>H</w:t>
            </w:r>
          </w:p>
        </w:tc>
      </w:tr>
      <w:tr>
        <w:trPr>
          <w:cantSplit/>
        </w:trPr>
        <w:tc>
          <w:tcPr>
            <w:tcW w:type="dxa" w:w="1389"/>
            <w:tcMar>
              <w:top w:w="77" w:type="dxa"/>
              <w:bottom w:w="77" w:type="dxa"/>
              <w:left w:w="90" w:type="dxa"/>
              <w:right w:w="90" w:type="dxa"/>
            </w:tcMar>
            <w:vAlign w:val="center"/>
            <w:shd w:fill="F4F8FA"/>
          </w:tcPr>
          <w:p>
            <w:pPr>
              <w:pStyle w:val="TableNormal"/>
            </w:pPr>
            <w:r>
              <w:rPr>
                <w:b/>
                <w:sz w:val="16"/>
              </w:rPr>
            </w:r>
          </w:p>
        </w:tc>
        <w:tc>
          <w:tcPr>
            <w:tcW w:type="dxa" w:w="3798"/>
            <w:tcMar>
              <w:top w:w="77" w:type="dxa"/>
              <w:bottom w:w="77" w:type="dxa"/>
              <w:left w:w="90" w:type="dxa"/>
              <w:right w:w="90" w:type="dxa"/>
            </w:tcMar>
            <w:vAlign w:val="center"/>
            <w:shd w:fill="F4F8FA"/>
          </w:tcPr>
          <w:p>
            <w:pPr>
              <w:pStyle w:val="TableNormal"/>
            </w:pPr>
            <w:r>
              <w:rPr>
                <w:sz w:val="16"/>
              </w:rPr>
              <w:t>cash_flow_growth</w:t>
            </w:r>
          </w:p>
        </w:tc>
        <w:tc>
          <w:tcPr>
            <w:tcW w:type="dxa" w:w="794"/>
            <w:tcMar>
              <w:top w:w="77" w:type="dxa"/>
              <w:bottom w:w="77" w:type="dxa"/>
              <w:left w:w="90" w:type="dxa"/>
              <w:right w:w="90" w:type="dxa"/>
            </w:tcMar>
            <w:vAlign w:val="center"/>
            <w:shd w:fill="F4F8FA"/>
          </w:tcPr>
          <w:p>
            <w:pPr>
              <w:pStyle w:val="TableNormal"/>
            </w:pPr>
            <w:r>
              <w:rPr>
                <w:sz w:val="16"/>
              </w:rPr>
              <w:t>Haut</w:t>
            </w:r>
          </w:p>
        </w:tc>
        <w:tc>
          <w:tcPr>
            <w:tcW w:type="dxa" w:w="1757"/>
            <w:tcMar>
              <w:top w:w="77" w:type="dxa"/>
              <w:bottom w:w="77" w:type="dxa"/>
              <w:left w:w="90" w:type="dxa"/>
              <w:right w:w="90" w:type="dxa"/>
            </w:tcMar>
            <w:vAlign w:val="center"/>
            <w:shd w:fill="F4F8FA"/>
          </w:tcPr>
          <w:p>
            <w:pPr>
              <w:pStyle w:val="TableNormal"/>
            </w:pPr>
            <w:r>
              <w:rPr>
                <w:sz w:val="16"/>
              </w:rPr>
              <w:t>—</w:t>
            </w:r>
          </w:p>
        </w:tc>
        <w:tc>
          <w:tcPr>
            <w:tcW w:type="dxa" w:w="1843"/>
            <w:tcMar>
              <w:top w:w="77" w:type="dxa"/>
              <w:bottom w:w="77" w:type="dxa"/>
              <w:left w:w="90" w:type="dxa"/>
              <w:right w:w="90" w:type="dxa"/>
            </w:tcMar>
            <w:vAlign w:val="center"/>
            <w:shd w:fill="F4F8FA"/>
          </w:tcPr>
          <w:p>
            <w:pPr>
              <w:pStyle w:val="TableNormal"/>
            </w:pPr>
            <w:r>
              <w:rPr>
                <w:sz w:val="16"/>
              </w:rPr>
              <w:t>H</w:t>
            </w:r>
          </w:p>
        </w:tc>
      </w:tr>
      <w:tr>
        <w:trPr>
          <w:cantSplit/>
        </w:trPr>
        <w:tc>
          <w:tcPr>
            <w:tcW w:type="dxa" w:w="1389"/>
            <w:tcMar>
              <w:top w:w="77" w:type="dxa"/>
              <w:bottom w:w="77" w:type="dxa"/>
              <w:left w:w="90" w:type="dxa"/>
              <w:right w:w="90" w:type="dxa"/>
            </w:tcMar>
            <w:vAlign w:val="center"/>
          </w:tcPr>
          <w:p>
            <w:pPr>
              <w:pStyle w:val="TableNormal"/>
            </w:pPr>
            <w:r>
              <w:rPr>
                <w:b/>
                <w:sz w:val="16"/>
              </w:rPr>
              <w:t>Momentum</w:t>
            </w:r>
          </w:p>
        </w:tc>
        <w:tc>
          <w:tcPr>
            <w:tcW w:type="dxa" w:w="3798"/>
            <w:tcMar>
              <w:top w:w="77" w:type="dxa"/>
              <w:bottom w:w="77" w:type="dxa"/>
              <w:left w:w="90" w:type="dxa"/>
              <w:right w:w="90" w:type="dxa"/>
            </w:tcMar>
            <w:vAlign w:val="center"/>
          </w:tcPr>
          <w:p>
            <w:pPr>
              <w:pStyle w:val="TableNormal"/>
            </w:pPr>
            <w:r>
              <w:rPr>
                <w:sz w:val="16"/>
              </w:rPr>
              <w:t>2 variations de prix ; 1 ratio de révisions</w:t>
            </w:r>
          </w:p>
        </w:tc>
        <w:tc>
          <w:tcPr>
            <w:tcW w:type="dxa" w:w="794"/>
            <w:tcMar>
              <w:top w:w="77" w:type="dxa"/>
              <w:bottom w:w="77" w:type="dxa"/>
              <w:left w:w="90" w:type="dxa"/>
              <w:right w:w="90" w:type="dxa"/>
            </w:tcMar>
            <w:vAlign w:val="center"/>
          </w:tcPr>
          <w:p>
            <w:pPr>
              <w:pStyle w:val="TableNormal"/>
            </w:pPr>
            <w:r>
              <w:rPr>
                <w:sz w:val="16"/>
              </w:rPr>
              <w:t>Haut</w:t>
            </w:r>
          </w:p>
        </w:tc>
        <w:tc>
          <w:tcPr>
            <w:tcW w:type="dxa" w:w="1757"/>
            <w:tcMar>
              <w:top w:w="77" w:type="dxa"/>
              <w:bottom w:w="77" w:type="dxa"/>
              <w:left w:w="90" w:type="dxa"/>
              <w:right w:w="90" w:type="dxa"/>
            </w:tcMar>
            <w:vAlign w:val="center"/>
          </w:tcPr>
          <w:p>
            <w:pPr>
              <w:pStyle w:val="TableNormal"/>
            </w:pPr>
            <w:r>
              <w:rPr>
                <w:sz w:val="16"/>
              </w:rPr>
              <w:t>rang /13 × 10</w:t>
            </w:r>
          </w:p>
        </w:tc>
        <w:tc>
          <w:tcPr>
            <w:tcW w:type="dxa" w:w="1843"/>
            <w:tcMar>
              <w:top w:w="77" w:type="dxa"/>
              <w:bottom w:w="77" w:type="dxa"/>
              <w:left w:w="90" w:type="dxa"/>
              <w:right w:w="90" w:type="dxa"/>
            </w:tcMar>
            <w:vAlign w:val="center"/>
          </w:tcPr>
          <w:p>
            <w:pPr>
              <w:pStyle w:val="TableNormal"/>
            </w:pPr>
            <w:r>
              <w:rPr>
                <w:sz w:val="16"/>
              </w:rPr>
              <w:t>rang brut</w:t>
            </w:r>
          </w:p>
        </w:tc>
      </w:tr>
      <w:tr>
        <w:trPr>
          <w:cantSplit/>
        </w:trPr>
        <w:tc>
          <w:tcPr>
            <w:tcW w:type="dxa" w:w="1389"/>
            <w:tcMar>
              <w:top w:w="77" w:type="dxa"/>
              <w:bottom w:w="77" w:type="dxa"/>
              <w:left w:w="90" w:type="dxa"/>
              <w:right w:w="90" w:type="dxa"/>
            </w:tcMar>
            <w:vAlign w:val="center"/>
            <w:shd w:fill="F4F8FA"/>
          </w:tcPr>
          <w:p>
            <w:pPr>
              <w:pStyle w:val="TableNormal"/>
            </w:pPr>
            <w:r>
              <w:rPr>
                <w:b/>
                <w:sz w:val="16"/>
              </w:rPr>
              <w:t>Volatility</w:t>
            </w:r>
          </w:p>
        </w:tc>
        <w:tc>
          <w:tcPr>
            <w:tcW w:type="dxa" w:w="3798"/>
            <w:tcMar>
              <w:top w:w="77" w:type="dxa"/>
              <w:bottom w:w="77" w:type="dxa"/>
              <w:left w:w="90" w:type="dxa"/>
              <w:right w:w="90" w:type="dxa"/>
            </w:tcMar>
            <w:vAlign w:val="center"/>
            <w:shd w:fill="F4F8FA"/>
          </w:tcPr>
          <w:p>
            <w:pPr>
              <w:pStyle w:val="TableNormal"/>
            </w:pPr>
            <w:r>
              <w:rPr>
                <w:sz w:val="16"/>
              </w:rPr>
              <w:t>volatility_6m ; downside_volatility_18m</w:t>
            </w:r>
          </w:p>
        </w:tc>
        <w:tc>
          <w:tcPr>
            <w:tcW w:type="dxa" w:w="794"/>
            <w:tcMar>
              <w:top w:w="77" w:type="dxa"/>
              <w:bottom w:w="77" w:type="dxa"/>
              <w:left w:w="90" w:type="dxa"/>
              <w:right w:w="90" w:type="dxa"/>
            </w:tcMar>
            <w:vAlign w:val="center"/>
            <w:shd w:fill="F4F8FA"/>
          </w:tcPr>
          <w:p>
            <w:pPr>
              <w:pStyle w:val="TableNormal"/>
            </w:pPr>
            <w:r>
              <w:rPr>
                <w:sz w:val="16"/>
              </w:rPr>
              <w:t>Bas</w:t>
            </w:r>
          </w:p>
        </w:tc>
        <w:tc>
          <w:tcPr>
            <w:tcW w:type="dxa" w:w="1757"/>
            <w:tcMar>
              <w:top w:w="77" w:type="dxa"/>
              <w:bottom w:w="77" w:type="dxa"/>
              <w:left w:w="90" w:type="dxa"/>
              <w:right w:w="90" w:type="dxa"/>
            </w:tcMar>
            <w:vAlign w:val="center"/>
            <w:shd w:fill="F4F8FA"/>
          </w:tcPr>
          <w:p>
            <w:pPr>
              <w:pStyle w:val="TableNormal"/>
            </w:pPr>
            <w:r>
              <w:rPr>
                <w:sz w:val="16"/>
              </w:rPr>
              <w:t>H</w:t>
            </w:r>
          </w:p>
        </w:tc>
        <w:tc>
          <w:tcPr>
            <w:tcW w:type="dxa" w:w="1843"/>
            <w:tcMar>
              <w:top w:w="77" w:type="dxa"/>
              <w:bottom w:w="77" w:type="dxa"/>
              <w:left w:w="90" w:type="dxa"/>
              <w:right w:w="90" w:type="dxa"/>
            </w:tcMar>
            <w:vAlign w:val="center"/>
            <w:shd w:fill="F4F8FA"/>
          </w:tcPr>
          <w:p>
            <w:pPr>
              <w:pStyle w:val="TableNormal"/>
            </w:pPr>
            <w:r>
              <w:rPr>
                <w:sz w:val="16"/>
              </w:rPr>
              <w:t>H</w:t>
            </w:r>
          </w:p>
        </w:tc>
      </w:tr>
    </w:tbl>
    <w:p>
      <w:pPr>
        <w:spacing w:after="20"/>
      </w:pPr>
    </w:p>
    <w:p>
      <w:pPr>
        <w:pStyle w:val="Heading2"/>
        <w:keepNext/>
      </w:pPr>
      <w:r>
        <w:t>B2. Calcul des sous-scores</w:t>
      </w:r>
    </w:p>
    <w:p>
      <w:r>
        <w:t>Mesure x(s,t) : valeur du secteur s au mois t. Écart d(s,t) = x(s,t) − moyenne des secteurs au même mois. Certaines variables de Value et Growth excluent Fin de la moyenne de référence ; cette exclusion n’empêche pas automatiquement le calcul du sous-score de Fin.</w:t>
      </w:r>
    </w:p>
    <w:p>
      <w:r>
        <w:t>H = 10 × rang favorable de d(s,t) / 61 (mois courant + 60 antérieurs). Pour price_fcf et ev_ebitda de Tech, la fenêtre compte 37 observations. En cas de valeurs égales, le rang minimal du groupe est utilisé.</w:t>
      </w:r>
    </w:p>
    <w:p>
      <w:r>
        <w:t>X = 10 × rang favorable de x(s,t) / N, avec N = 13 en EU et N = 12 en US. Pour les variables H+X, sous-score = (H + X) / 2.</w:t>
      </w:r>
    </w:p>
    <w:p>
      <w:r>
        <w:t>Un pilier est la moyenne simple de ses sous-scores sélectionnés. Ses variables doivent être renseignées pour obtenir un score. Les cas de Fin et Tech définissent des compositions spéciales ; Growth US utilise cash_flow_growth et ebitda_growth par défaut, et eps_growth + sales_growth pour Fin.</w:t>
      </w:r>
    </w:p>
    <w:p>
      <w:pPr>
        <w:pStyle w:val="Heading2"/>
        <w:keepNext/>
      </w:pPr>
      <w:r>
        <w:t>B3. Momentum et Volatility</w:t>
      </w:r>
    </w:p>
    <w:p>
      <w:r>
        <w:t>Momentum = moyenne des rangs de deux performances de prix (6 et 12 mois, avec un décalage standard du dernier mois) et du ratio (révisions en hausse − en baisse) / (hausse + baisse + stables). Tech utilise le prix courant dans les deux performances.</w:t>
      </w:r>
    </w:p>
    <w:p>
      <w:r>
        <w:t>Volatility = moyenne de deux sous-scores historiques : volatilité totale, écart-type échantillon annualisé sur 7 rendements, et volatilité baissière, écart-type des seuls rendements négatifs sur une fenêtre de 19 rendements (× √12).</w:t>
      </w:r>
    </w:p>
    <w:p>
      <w:pPr>
        <w:pStyle w:val="Heading2"/>
        <w:keepNext/>
      </w:pPr>
      <w:r>
        <w:t>B4. Score macro et taux</w:t>
      </w:r>
    </w:p>
    <w:p>
      <w:r>
        <w:t>EU : le score U combine quatre composantes, dont la première est décalée d’un mois ; le cycle retenu est AB. US : le score Q combine quatre indicateurs à 30 % / 30 % / 30 % / 10 %, et le cycle retenu est U. Les régimes sont C, R, E ou SD, selon les formules enregistrées dans le fichier macro.</w:t>
      </w:r>
    </w:p>
    <w:p>
      <w:r>
        <w:t>Le taux US 10 ans est lissé par EWMA de coefficient 0,715. L’écart au lissage est évalué en percentile historique ; le signal est On au-dessus de 85 % et intervient dans les votes Leverage et Value.</w:t>
      </w:r>
    </w:p>
    <w:p>
      <w:r>
        <w:br w:type="page"/>
      </w:r>
    </w:p>
    <w:p>
      <w:pPr>
        <w:pStyle w:val="Heading1"/>
        <w:keepNext/>
      </w:pPr>
      <w:r>
        <w:t>ANNEXE C — Du signal à la recommandation</w:t>
      </w:r>
    </w:p>
    <w:p>
      <w:pPr>
        <w:pStyle w:val="Heading2"/>
        <w:keepNext/>
      </w:pPr>
      <w:r>
        <w:t>C1. Agrégation des rangs et décisions</w:t>
      </w:r>
    </w:p>
    <w:p>
      <w:r>
        <w:t>Les piliers sont classés entre secteurs. Le score de base additionne les rangs pondérés par les poids standards ; le score de tilt utilise les poids du régime. Le rang du tilt devient la composante macro du score global.</w:t>
      </w:r>
    </w:p>
    <w:p>
      <w:r>
        <w:t>Le score global EU combine six rangs de piliers et le rang macro avec un poids de 1/7 chacun. En US, il combine cinq piliers (Leverage, Value, Momentum, Growth, Volatility) et le rang macro à 1/6 chacun. Margin a un poids nul en US.</w:t>
      </w:r>
    </w:p>
    <w:p>
      <w:r>
        <w:t>Lors du calcul des sommes pondérées, un pilier à poids nul n’intervient pas dans le score ni dans son contrôle de disponibilité. Un pilier de poids non nul doit être présent : une donnée importante manquante produit alors un score agrégé absent.</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2976"/>
            <w:shd w:fill="183049"/>
            <w:tcMar>
              <w:top w:w="85" w:type="dxa"/>
              <w:bottom w:w="85" w:type="dxa"/>
              <w:left w:w="90" w:type="dxa"/>
              <w:right w:w="90" w:type="dxa"/>
            </w:tcMar>
          </w:tcPr>
          <w:p>
            <w:pPr>
              <w:pStyle w:val="TableNormal"/>
            </w:pPr>
            <w:r>
              <w:rPr>
                <w:b/>
                <w:color w:val="FFFFFF"/>
                <w:sz w:val="16"/>
              </w:rPr>
              <w:t>Composante</w:t>
            </w:r>
          </w:p>
        </w:tc>
        <w:tc>
          <w:tcPr>
            <w:tcW w:type="dxa" w:w="3260"/>
            <w:shd w:fill="183049"/>
            <w:tcMar>
              <w:top w:w="85" w:type="dxa"/>
              <w:bottom w:w="85" w:type="dxa"/>
              <w:left w:w="90" w:type="dxa"/>
              <w:right w:w="90" w:type="dxa"/>
            </w:tcMar>
          </w:tcPr>
          <w:p>
            <w:pPr>
              <w:pStyle w:val="TableNormal"/>
            </w:pPr>
            <w:r>
              <w:rPr>
                <w:b/>
                <w:color w:val="FFFFFF"/>
                <w:sz w:val="16"/>
              </w:rPr>
              <w:t>EU</w:t>
            </w:r>
          </w:p>
        </w:tc>
        <w:tc>
          <w:tcPr>
            <w:tcW w:type="dxa" w:w="3345"/>
            <w:shd w:fill="183049"/>
            <w:tcMar>
              <w:top w:w="85" w:type="dxa"/>
              <w:bottom w:w="85" w:type="dxa"/>
              <w:left w:w="90" w:type="dxa"/>
              <w:right w:w="90" w:type="dxa"/>
            </w:tcMar>
          </w:tcPr>
          <w:p>
            <w:pPr>
              <w:pStyle w:val="TableNormal"/>
            </w:pPr>
            <w:r>
              <w:rPr>
                <w:b/>
                <w:color w:val="FFFFFF"/>
                <w:sz w:val="16"/>
              </w:rPr>
              <w:t>US</w:t>
            </w:r>
          </w:p>
        </w:tc>
      </w:tr>
      <w:tr>
        <w:trPr>
          <w:cantSplit/>
        </w:trPr>
        <w:tc>
          <w:tcPr>
            <w:tcW w:type="dxa" w:w="2976"/>
            <w:tcMar>
              <w:top w:w="77" w:type="dxa"/>
              <w:bottom w:w="77" w:type="dxa"/>
              <w:left w:w="90" w:type="dxa"/>
              <w:right w:w="90" w:type="dxa"/>
            </w:tcMar>
            <w:vAlign w:val="center"/>
          </w:tcPr>
          <w:p>
            <w:pPr>
              <w:pStyle w:val="TableNormal"/>
            </w:pPr>
            <w:r>
              <w:rPr>
                <w:b/>
                <w:sz w:val="16"/>
              </w:rPr>
              <w:t>Votes piliers</w:t>
            </w:r>
          </w:p>
        </w:tc>
        <w:tc>
          <w:tcPr>
            <w:tcW w:type="dxa" w:w="3260"/>
            <w:tcMar>
              <w:top w:w="77" w:type="dxa"/>
              <w:bottom w:w="77" w:type="dxa"/>
              <w:left w:w="90" w:type="dxa"/>
              <w:right w:w="90" w:type="dxa"/>
            </w:tcMar>
            <w:vAlign w:val="center"/>
          </w:tcPr>
          <w:p>
            <w:pPr>
              <w:pStyle w:val="TableNormal"/>
            </w:pPr>
            <w:r>
              <w:rPr>
                <w:sz w:val="16"/>
              </w:rPr>
              <w:t>Top/Worst sur six piliers</w:t>
            </w:r>
          </w:p>
        </w:tc>
        <w:tc>
          <w:tcPr>
            <w:tcW w:type="dxa" w:w="3345"/>
            <w:tcMar>
              <w:top w:w="77" w:type="dxa"/>
              <w:bottom w:w="77" w:type="dxa"/>
              <w:left w:w="90" w:type="dxa"/>
              <w:right w:w="90" w:type="dxa"/>
            </w:tcMar>
            <w:vAlign w:val="center"/>
          </w:tcPr>
          <w:p>
            <w:pPr>
              <w:pStyle w:val="TableNormal"/>
            </w:pPr>
            <w:r>
              <w:rPr>
                <w:sz w:val="16"/>
              </w:rPr>
              <w:t>Top sur six, Worst sur cinq (hors Margin)</w:t>
            </w:r>
          </w:p>
        </w:tc>
      </w:tr>
      <w:tr>
        <w:trPr>
          <w:cantSplit/>
        </w:trPr>
        <w:tc>
          <w:tcPr>
            <w:tcW w:type="dxa" w:w="2976"/>
            <w:tcMar>
              <w:top w:w="77" w:type="dxa"/>
              <w:bottom w:w="77" w:type="dxa"/>
              <w:left w:w="90" w:type="dxa"/>
              <w:right w:w="90" w:type="dxa"/>
            </w:tcMar>
            <w:vAlign w:val="center"/>
            <w:shd w:fill="F4F8FA"/>
          </w:tcPr>
          <w:p>
            <w:pPr>
              <w:pStyle w:val="TableNormal"/>
            </w:pPr>
            <w:r>
              <w:rPr>
                <w:b/>
                <w:sz w:val="16"/>
              </w:rPr>
              <w:t>Vote du tilt macro</w:t>
            </w:r>
          </w:p>
        </w:tc>
        <w:tc>
          <w:tcPr>
            <w:tcW w:type="dxa" w:w="3260"/>
            <w:tcMar>
              <w:top w:w="77" w:type="dxa"/>
              <w:bottom w:w="77" w:type="dxa"/>
              <w:left w:w="90" w:type="dxa"/>
              <w:right w:w="90" w:type="dxa"/>
            </w:tcMar>
            <w:vAlign w:val="center"/>
            <w:shd w:fill="F4F8FA"/>
          </w:tcPr>
          <w:p>
            <w:pPr>
              <w:pStyle w:val="TableNormal"/>
            </w:pPr>
            <w:r>
              <w:rPr>
                <w:sz w:val="16"/>
              </w:rPr>
              <w:t>+2 Top ou Worst</w:t>
            </w:r>
          </w:p>
        </w:tc>
        <w:tc>
          <w:tcPr>
            <w:tcW w:type="dxa" w:w="3345"/>
            <w:tcMar>
              <w:top w:w="77" w:type="dxa"/>
              <w:bottom w:w="77" w:type="dxa"/>
              <w:left w:w="90" w:type="dxa"/>
              <w:right w:w="90" w:type="dxa"/>
            </w:tcMar>
            <w:vAlign w:val="center"/>
            <w:shd w:fill="F4F8FA"/>
          </w:tcPr>
          <w:p>
            <w:pPr>
              <w:pStyle w:val="TableNormal"/>
            </w:pPr>
            <w:r>
              <w:rPr>
                <w:sz w:val="16"/>
              </w:rPr>
              <w:t>+1 Top ou Worst</w:t>
            </w:r>
          </w:p>
        </w:tc>
      </w:tr>
      <w:tr>
        <w:trPr>
          <w:cantSplit/>
        </w:trPr>
        <w:tc>
          <w:tcPr>
            <w:tcW w:type="dxa" w:w="2976"/>
            <w:tcMar>
              <w:top w:w="77" w:type="dxa"/>
              <w:bottom w:w="77" w:type="dxa"/>
              <w:left w:w="90" w:type="dxa"/>
              <w:right w:w="90" w:type="dxa"/>
            </w:tcMar>
            <w:vAlign w:val="center"/>
          </w:tcPr>
          <w:p>
            <w:pPr>
              <w:pStyle w:val="TableNormal"/>
            </w:pPr>
            <w:r>
              <w:rPr>
                <w:b/>
                <w:sz w:val="16"/>
              </w:rPr>
              <w:t>Signal de taux On</w:t>
            </w:r>
          </w:p>
        </w:tc>
        <w:tc>
          <w:tcPr>
            <w:tcW w:type="dxa" w:w="3260"/>
            <w:tcMar>
              <w:top w:w="77" w:type="dxa"/>
              <w:bottom w:w="77" w:type="dxa"/>
              <w:left w:w="90" w:type="dxa"/>
              <w:right w:w="90" w:type="dxa"/>
            </w:tcMar>
            <w:vAlign w:val="center"/>
          </w:tcPr>
          <w:p>
            <w:pPr>
              <w:pStyle w:val="TableNormal"/>
            </w:pPr>
            <w:r>
              <w:rPr>
                <w:sz w:val="16"/>
              </w:rPr>
              <w:t>+1 sur Leverage et Value</w:t>
            </w:r>
          </w:p>
        </w:tc>
        <w:tc>
          <w:tcPr>
            <w:tcW w:type="dxa" w:w="3345"/>
            <w:tcMar>
              <w:top w:w="77" w:type="dxa"/>
              <w:bottom w:w="77" w:type="dxa"/>
              <w:left w:w="90" w:type="dxa"/>
              <w:right w:w="90" w:type="dxa"/>
            </w:tcMar>
            <w:vAlign w:val="center"/>
          </w:tcPr>
          <w:p>
            <w:pPr>
              <w:pStyle w:val="TableNormal"/>
            </w:pPr>
            <w:r>
              <w:rPr>
                <w:sz w:val="16"/>
              </w:rPr>
              <w:t>Même règle</w:t>
            </w:r>
          </w:p>
        </w:tc>
      </w:tr>
      <w:tr>
        <w:trPr>
          <w:cantSplit/>
        </w:trPr>
        <w:tc>
          <w:tcPr>
            <w:tcW w:type="dxa" w:w="2976"/>
            <w:tcMar>
              <w:top w:w="77" w:type="dxa"/>
              <w:bottom w:w="77" w:type="dxa"/>
              <w:left w:w="90" w:type="dxa"/>
              <w:right w:w="90" w:type="dxa"/>
            </w:tcMar>
            <w:vAlign w:val="center"/>
            <w:shd w:fill="F4F8FA"/>
          </w:tcPr>
          <w:p>
            <w:pPr>
              <w:pStyle w:val="TableNormal"/>
            </w:pPr>
            <w:r>
              <w:rPr>
                <w:b/>
                <w:sz w:val="16"/>
              </w:rPr>
              <w:t>Sélection</w:t>
            </w:r>
          </w:p>
        </w:tc>
        <w:tc>
          <w:tcPr>
            <w:tcW w:type="dxa" w:w="3260"/>
            <w:tcMar>
              <w:top w:w="77" w:type="dxa"/>
              <w:bottom w:w="77" w:type="dxa"/>
              <w:left w:w="90" w:type="dxa"/>
              <w:right w:w="90" w:type="dxa"/>
            </w:tcMar>
            <w:vAlign w:val="center"/>
            <w:shd w:fill="F4F8FA"/>
          </w:tcPr>
          <w:p>
            <w:pPr>
              <w:pStyle w:val="TableNormal"/>
            </w:pPr>
            <w:r>
              <w:rPr>
                <w:sz w:val="16"/>
              </w:rPr>
              <w:t>Maximum trois Positive, trois Negative</w:t>
            </w:r>
          </w:p>
        </w:tc>
        <w:tc>
          <w:tcPr>
            <w:tcW w:type="dxa" w:w="3345"/>
            <w:tcMar>
              <w:top w:w="77" w:type="dxa"/>
              <w:bottom w:w="77" w:type="dxa"/>
              <w:left w:w="90" w:type="dxa"/>
              <w:right w:w="90" w:type="dxa"/>
            </w:tcMar>
            <w:vAlign w:val="center"/>
            <w:shd w:fill="F4F8FA"/>
          </w:tcPr>
          <w:p>
            <w:pPr>
              <w:pStyle w:val="TableNormal"/>
            </w:pPr>
            <w:r>
              <w:rPr>
                <w:sz w:val="16"/>
              </w:rPr>
              <w:t>Même règle</w:t>
            </w:r>
          </w:p>
        </w:tc>
      </w:tr>
      <w:tr>
        <w:trPr>
          <w:cantSplit/>
        </w:trPr>
        <w:tc>
          <w:tcPr>
            <w:tcW w:type="dxa" w:w="2976"/>
            <w:tcMar>
              <w:top w:w="77" w:type="dxa"/>
              <w:bottom w:w="77" w:type="dxa"/>
              <w:left w:w="90" w:type="dxa"/>
              <w:right w:w="90" w:type="dxa"/>
            </w:tcMar>
            <w:vAlign w:val="center"/>
          </w:tcPr>
          <w:p>
            <w:pPr>
              <w:pStyle w:val="TableNormal"/>
            </w:pPr>
            <w:r>
              <w:rPr>
                <w:b/>
                <w:sz w:val="16"/>
              </w:rPr>
              <w:t>Travel &amp; leisure</w:t>
            </w:r>
          </w:p>
        </w:tc>
        <w:tc>
          <w:tcPr>
            <w:tcW w:type="dxa" w:w="3260"/>
            <w:tcMar>
              <w:top w:w="77" w:type="dxa"/>
              <w:bottom w:w="77" w:type="dxa"/>
              <w:left w:w="90" w:type="dxa"/>
              <w:right w:w="90" w:type="dxa"/>
            </w:tcMar>
            <w:vAlign w:val="center"/>
          </w:tcPr>
          <w:p>
            <w:pPr>
              <w:pStyle w:val="TableNormal"/>
            </w:pPr>
            <w:r>
              <w:rPr>
                <w:sz w:val="16"/>
              </w:rPr>
              <w:t>Votes remis à zéro depuis octobre 2011</w:t>
            </w:r>
          </w:p>
        </w:tc>
        <w:tc>
          <w:tcPr>
            <w:tcW w:type="dxa" w:w="3345"/>
            <w:tcMar>
              <w:top w:w="77" w:type="dxa"/>
              <w:bottom w:w="77" w:type="dxa"/>
              <w:left w:w="90" w:type="dxa"/>
              <w:right w:w="90" w:type="dxa"/>
            </w:tcMar>
            <w:vAlign w:val="center"/>
          </w:tcPr>
          <w:p>
            <w:pPr>
              <w:pStyle w:val="TableNormal"/>
            </w:pPr>
            <w:r>
              <w:rPr>
                <w:sz w:val="16"/>
              </w:rPr>
              <w:t>Même règle</w:t>
            </w:r>
          </w:p>
        </w:tc>
      </w:tr>
    </w:tbl>
    <w:p>
      <w:pPr>
        <w:spacing w:after="20"/>
      </w:pPr>
    </w:p>
    <w:p>
      <w:r>
        <w:t>Les candidats Positive sont triés par votes Top décroissants, puis rang global, puis votes Worst. Les candidats Negative suivent les votes Worst décroissants, puis le rang global croissant. Positive prévaut si les sélections se recoupent.</w:t>
      </w:r>
    </w:p>
    <w:p>
      <w:pPr>
        <w:pStyle w:val="Heading2"/>
        <w:keepNext/>
      </w:pPr>
      <w:r>
        <w:t>C2. Benchmark et performances</w:t>
      </w:r>
    </w:p>
    <w:tbl>
      <w:tblPr>
        <w:tblStyle w:val="TableGrid"/>
        <w:tblW w:type="auto" w:w="0"/>
        <w:jc w:val="center"/>
        <w:tblLayout w:type="fixed"/>
        <w:tblLook w:firstColumn="1" w:firstRow="1" w:lastColumn="0" w:lastRow="0" w:noHBand="0" w:noVBand="1" w:val="04A0"/>
      </w:tblPr>
      <w:tblGrid>
        <w:gridCol w:w="3194"/>
        <w:gridCol w:w="3194"/>
        <w:gridCol w:w="3194"/>
      </w:tblGrid>
      <w:tr>
        <w:trPr>
          <w:tblHeader/>
          <w:cantSplit/>
        </w:trPr>
        <w:tc>
          <w:tcPr>
            <w:tcW w:type="dxa" w:w="1304"/>
            <w:shd w:fill="183049"/>
            <w:tcMar>
              <w:top w:w="85" w:type="dxa"/>
              <w:bottom w:w="85" w:type="dxa"/>
              <w:left w:w="90" w:type="dxa"/>
              <w:right w:w="90" w:type="dxa"/>
            </w:tcMar>
          </w:tcPr>
          <w:p>
            <w:pPr>
              <w:pStyle w:val="TableNormal"/>
            </w:pPr>
            <w:r>
              <w:rPr>
                <w:b/>
                <w:color w:val="FFFFFF"/>
                <w:sz w:val="16"/>
              </w:rPr>
              <w:t>Marché</w:t>
            </w:r>
          </w:p>
        </w:tc>
        <w:tc>
          <w:tcPr>
            <w:tcW w:type="dxa" w:w="3940"/>
            <w:shd w:fill="183049"/>
            <w:tcMar>
              <w:top w:w="85" w:type="dxa"/>
              <w:bottom w:w="85" w:type="dxa"/>
              <w:left w:w="90" w:type="dxa"/>
              <w:right w:w="90" w:type="dxa"/>
            </w:tcMar>
          </w:tcPr>
          <w:p>
            <w:pPr>
              <w:pStyle w:val="TableNormal"/>
            </w:pPr>
            <w:r>
              <w:rPr>
                <w:b/>
                <w:color w:val="FFFFFF"/>
                <w:sz w:val="16"/>
              </w:rPr>
              <w:t>Rendements réellement lus</w:t>
            </w:r>
          </w:p>
        </w:tc>
        <w:tc>
          <w:tcPr>
            <w:tcW w:type="dxa" w:w="4337"/>
            <w:shd w:fill="183049"/>
            <w:tcMar>
              <w:top w:w="85" w:type="dxa"/>
              <w:bottom w:w="85" w:type="dxa"/>
              <w:left w:w="90" w:type="dxa"/>
              <w:right w:w="90" w:type="dxa"/>
            </w:tcMar>
          </w:tcPr>
          <w:p>
            <w:pPr>
              <w:pStyle w:val="TableNormal"/>
            </w:pPr>
            <w:r>
              <w:rPr>
                <w:b/>
                <w:color w:val="FFFFFF"/>
                <w:sz w:val="16"/>
              </w:rPr>
              <w:t>Libellé des poids dans Bench</w:t>
            </w:r>
          </w:p>
        </w:tc>
      </w:tr>
      <w:tr>
        <w:trPr>
          <w:cantSplit/>
        </w:trPr>
        <w:tc>
          <w:tcPr>
            <w:tcW w:type="dxa" w:w="1304"/>
            <w:tcMar>
              <w:top w:w="77" w:type="dxa"/>
              <w:bottom w:w="77" w:type="dxa"/>
              <w:left w:w="90" w:type="dxa"/>
              <w:right w:w="90" w:type="dxa"/>
            </w:tcMar>
            <w:vAlign w:val="center"/>
          </w:tcPr>
          <w:p>
            <w:pPr>
              <w:pStyle w:val="TableNormal"/>
            </w:pPr>
            <w:r>
              <w:rPr>
                <w:b/>
                <w:sz w:val="16"/>
              </w:rPr>
              <w:t>EU</w:t>
            </w:r>
          </w:p>
        </w:tc>
        <w:tc>
          <w:tcPr>
            <w:tcW w:type="dxa" w:w="3940"/>
            <w:tcMar>
              <w:top w:w="77" w:type="dxa"/>
              <w:bottom w:w="77" w:type="dxa"/>
              <w:left w:w="90" w:type="dxa"/>
              <w:right w:w="90" w:type="dxa"/>
            </w:tcMar>
            <w:vAlign w:val="center"/>
          </w:tcPr>
          <w:p>
            <w:pPr>
              <w:pStyle w:val="TableNormal"/>
            </w:pPr>
            <w:r>
              <w:rPr>
                <w:sz w:val="16"/>
              </w:rPr>
              <w:t>FTSE World Europe</w:t>
            </w:r>
          </w:p>
        </w:tc>
        <w:tc>
          <w:tcPr>
            <w:tcW w:type="dxa" w:w="4337"/>
            <w:tcMar>
              <w:top w:w="77" w:type="dxa"/>
              <w:bottom w:w="77" w:type="dxa"/>
              <w:left w:w="90" w:type="dxa"/>
              <w:right w:w="90" w:type="dxa"/>
            </w:tcMar>
            <w:vAlign w:val="center"/>
          </w:tcPr>
          <w:p>
            <w:pPr>
              <w:pStyle w:val="TableNormal"/>
            </w:pPr>
            <w:r>
              <w:rPr>
                <w:sz w:val="16"/>
              </w:rPr>
              <w:t>MSCI_ACWI_Europe</w:t>
            </w:r>
          </w:p>
        </w:tc>
      </w:tr>
      <w:tr>
        <w:trPr>
          <w:cantSplit/>
        </w:trPr>
        <w:tc>
          <w:tcPr>
            <w:tcW w:type="dxa" w:w="1304"/>
            <w:tcMar>
              <w:top w:w="77" w:type="dxa"/>
              <w:bottom w:w="77" w:type="dxa"/>
              <w:left w:w="90" w:type="dxa"/>
              <w:right w:w="90" w:type="dxa"/>
            </w:tcMar>
            <w:vAlign w:val="center"/>
            <w:shd w:fill="F4F8FA"/>
          </w:tcPr>
          <w:p>
            <w:pPr>
              <w:pStyle w:val="TableNormal"/>
            </w:pPr>
            <w:r>
              <w:rPr>
                <w:b/>
                <w:sz w:val="16"/>
              </w:rPr>
              <w:t>US</w:t>
            </w:r>
          </w:p>
        </w:tc>
        <w:tc>
          <w:tcPr>
            <w:tcW w:type="dxa" w:w="3940"/>
            <w:tcMar>
              <w:top w:w="77" w:type="dxa"/>
              <w:bottom w:w="77" w:type="dxa"/>
              <w:left w:w="90" w:type="dxa"/>
              <w:right w:w="90" w:type="dxa"/>
            </w:tcMar>
            <w:vAlign w:val="center"/>
            <w:shd w:fill="F4F8FA"/>
          </w:tcPr>
          <w:p>
            <w:pPr>
              <w:pStyle w:val="TableNormal"/>
            </w:pPr>
            <w:r>
              <w:rPr>
                <w:sz w:val="16"/>
              </w:rPr>
              <w:t>WIUSAU Index</w:t>
            </w:r>
          </w:p>
        </w:tc>
        <w:tc>
          <w:tcPr>
            <w:tcW w:type="dxa" w:w="4337"/>
            <w:tcMar>
              <w:top w:w="77" w:type="dxa"/>
              <w:bottom w:w="77" w:type="dxa"/>
              <w:left w:w="90" w:type="dxa"/>
              <w:right w:w="90" w:type="dxa"/>
            </w:tcMar>
            <w:vAlign w:val="center"/>
            <w:shd w:fill="F4F8FA"/>
          </w:tcPr>
          <w:p>
            <w:pPr>
              <w:pStyle w:val="TableNormal"/>
            </w:pPr>
            <w:r>
              <w:rPr>
                <w:sz w:val="16"/>
              </w:rPr>
              <w:t>SP500_bench</w:t>
            </w:r>
          </w:p>
        </w:tc>
      </w:tr>
    </w:tbl>
    <w:p>
      <w:pPr>
        <w:spacing w:after="20"/>
      </w:pPr>
    </w:p>
    <w:p>
      <w:r>
        <w:t>La série benchmark utilisée pour les rendements provient de Returns_EQ : rendement(t) = indice(t) / indice(t−1) − 1. Les noms de graphiques suivent désormais la série lue. Le nom SP500_bench du tableau de poids est distinct de la série de rendements WIUSAU Index ; toute modification de benchmark doit être décidée sur la source, pas uniquement sur le titre.</w:t>
      </w:r>
    </w:p>
    <w:p>
      <w:r>
        <w:t>Le portefeuille du mois t applique le signal de t−1 aux derniers poids Bench disponibles. Positive : max(1,20 × poids ; poids + 0,05). Negative : min(0,80 × poids ; max(poids − 0,05 ; 0)). Neutral : poids inchangé. Les poids ajustés sont normalisés avant le calcul du rendement.</w:t>
      </w:r>
    </w:p>
    <w:p>
      <w:r>
        <w:t>Les séries de performance incluent benchmark, portefeuille, groupes Top et Bottom et Long/Short = Top − Bottom. actualisation.txt distingue les rendements du benchmark et ceux du portefeuille. En cas de rupture du cumul du portefeuille, il indique le premier mois concerné et les secteurs sans poids Bench ou rendement.</w:t>
      </w:r>
    </w:p>
    <w:p>
      <w:pPr>
        <w:pStyle w:val="Heading2"/>
        <w:keepNext/>
      </w:pPr>
      <w:r>
        <w:t>C3. Source des règles</w:t>
      </w:r>
    </w:p>
    <w:p>
      <w:r>
        <w:t>Variables, exclusions sectorielles, poids de régime et mappings : local_config.py. Lecture des entrées et historique : data_utils.py. Scores, seuils et votes : model_secto.py. Portefeuille et tableaux : excel_output.py. Le guide décrit ces principes ; les adresses Excel restent dans le code.</w:t>
      </w:r>
    </w:p>
    <w:sectPr w:rsidR="00FC693F" w:rsidRPr="0006063C" w:rsidSect="00034616">
      <w:headerReference w:type="default" r:id="rId9"/>
      <w:footerReference w:type="default" r:id="rId10"/>
      <w:pgSz w:w="11906" w:h="16838"/>
      <w:pgMar w:top="1049" w:right="1162" w:bottom="992" w:left="1162" w:header="44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tion"/>
      <w:jc w:val="right"/>
    </w:pPr>
    <w:r>
      <w:t xml:space="preserve">Guide de production et méthode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tion"/>
      <w:pBdr>
        <w:bottom w:val="single" w:sz="8" w:color="BCD2D6"/>
      </w:pBdr>
    </w:pPr>
    <w:r>
      <w:t>MODÈLE SECTORIEL  /  EU • 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9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8304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864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0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26D7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rmal">
    <w:name w:val="TableNormal"/>
    <w:basedOn w:val="Normal"/>
    <w:pPr>
      <w:spacing w:after="0" w:line="259" w:lineRule="auto"/>
    </w:pPr>
    <w:rPr>
      <w:sz w:val="17"/>
    </w:rPr>
  </w:style>
  <w:style w:type="paragraph" w:customStyle="1" w:styleId="StepText">
    <w:name w:val="StepText"/>
    <w:basedOn w:val="Normal"/>
    <w:pPr>
      <w:spacing w:after="120"/>
      <w:ind w:left="187" w:hanging="187"/>
    </w:pPr>
  </w:style>
  <w:style w:type="paragraph" w:customStyle="1" w:styleId="SmallCaption">
    <w:name w:val="SmallCaption"/>
    <w:basedOn w:val="Normal"/>
    <w:rPr>
      <w:color w:val="626D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sectoriel EU / US — Guide de production et méthode</dc:title>
  <dc:subject>Production mensuelle et calcul des signaux sectoriels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