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AUR-ARCH-005 Correction — Stream Access Semantics v1.2r</w:t>
      </w:r>
    </w:p>
    <w:p>
      <w:r>
        <w:t>This section supersedes the v1.2q statement that POP, PUSH, and PEEK are the only stream-access instructions.</w:t>
      </w:r>
    </w:p>
    <w:p>
      <w:pPr>
        <w:pStyle w:val="Heading1"/>
      </w:pPr>
      <w:r>
        <w:t>Three Instruction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  <w:tc>
          <w:tcPr>
            <w:tcW w:type="dxa" w:w="2160"/>
          </w:tcPr>
          <w:p>
            <w:r>
              <w:t>Stream behavior</w:t>
            </w:r>
          </w:p>
        </w:tc>
        <w:tc>
          <w:tcPr>
            <w:tcW w:type="dxa" w:w="2160"/>
          </w:tcPr>
          <w:p>
            <w:r>
              <w:t>Rule</w:t>
            </w:r>
          </w:p>
        </w:tc>
      </w:tr>
      <w:tr>
        <w:tc>
          <w:tcPr>
            <w:tcW w:type="dxa" w:w="2160"/>
          </w:tcPr>
          <w:p>
            <w:r>
              <w:t>Stream-capable computation</w:t>
            </w:r>
          </w:p>
        </w:tc>
        <w:tc>
          <w:tcPr>
            <w:tcW w:type="dxa" w:w="2160"/>
          </w:tcPr>
          <w:p>
            <w:r>
              <w:t>ADD, SUB, packed ALU, MUL, MAC/MAS, REDUCE, DOT, SAD</w:t>
            </w:r>
          </w:p>
        </w:tc>
        <w:tc>
          <w:tcPr>
            <w:tcW w:type="dxa" w:w="2160"/>
          </w:tcPr>
          <w:p>
            <w:r>
              <w:t>Implicit consume/produce when Q0/Q1 is selected</w:t>
            </w:r>
          </w:p>
        </w:tc>
        <w:tc>
          <w:tcPr>
            <w:tcW w:type="dxa" w:w="2160"/>
          </w:tcPr>
          <w:p>
            <w:r>
              <w:t>Side effect is part of the computation</w:t>
            </w:r>
          </w:p>
        </w:tc>
      </w:tr>
      <w:tr>
        <w:tc>
          <w:tcPr>
            <w:tcW w:type="dxa" w:w="2160"/>
          </w:tcPr>
          <w:p>
            <w:r>
              <w:t>Standalone stream transfer</w:t>
            </w:r>
          </w:p>
        </w:tc>
        <w:tc>
          <w:tcPr>
            <w:tcW w:type="dxa" w:w="2160"/>
          </w:tcPr>
          <w:p>
            <w:r>
              <w:t>POP, PUSH, PEEK</w:t>
            </w:r>
          </w:p>
        </w:tc>
        <w:tc>
          <w:tcPr>
            <w:tcW w:type="dxa" w:w="2160"/>
          </w:tcPr>
          <w:p>
            <w:r>
              <w:t>Explicit consume, produce, or non-consuming read</w:t>
            </w:r>
          </w:p>
        </w:tc>
        <w:tc>
          <w:tcPr>
            <w:tcW w:type="dxa" w:w="2160"/>
          </w:tcPr>
          <w:p>
            <w:r>
              <w:t>Used when no fused computation is desired</w:t>
            </w:r>
          </w:p>
        </w:tc>
      </w:tr>
      <w:tr>
        <w:tc>
          <w:tcPr>
            <w:tcW w:type="dxa" w:w="2160"/>
          </w:tcPr>
          <w:p>
            <w:r>
              <w:t>Pure register/control</w:t>
            </w:r>
          </w:p>
        </w:tc>
        <w:tc>
          <w:tcPr>
            <w:tcW w:type="dxa" w:w="2160"/>
          </w:tcPr>
          <w:p>
            <w:r>
              <w:t>MOV, CMOV, branches, unrelated system operations</w:t>
            </w:r>
          </w:p>
        </w:tc>
        <w:tc>
          <w:tcPr>
            <w:tcW w:type="dxa" w:w="2160"/>
          </w:tcPr>
          <w:p>
            <w:r>
              <w:t>Never accesses stream data</w:t>
            </w:r>
          </w:p>
        </w:tc>
        <w:tc>
          <w:tcPr>
            <w:tcW w:type="dxa" w:w="2160"/>
          </w:tcPr>
          <w:p>
            <w:r>
              <w:t>Predicate outcome cannot change stream progression</w:t>
            </w:r>
          </w:p>
        </w:tc>
      </w:tr>
    </w:tbl>
    <w:p>
      <w:pPr>
        <w:pStyle w:val="Heading1"/>
      </w:pPr>
      <w:r>
        <w:t>Reduction Formats</w:t>
      </w:r>
    </w:p>
    <w:p>
      <w:r>
        <w:t>One-source reductions accept one GPR or supported stream source and write A0 or A1. Two-source reductions accept the combinations defined by their encoding, with Q0/Q1 paired consumption prioritized. The selected accumulator is read implicitly only when ACC=1; INIT=1 replaces the accumulator with the current reduction result.</w:t>
      </w:r>
    </w:p>
    <w:p>
      <w:r>
        <w:t>Examples:</w:t>
        <w:br/>
        <w:t xml:space="preserve">  REDUCE.ADD A0, Q0, ACC</w:t>
        <w:br/>
        <w:t xml:space="preserve">  REDUCE.XOR A1, Q1, INIT</w:t>
        <w:br/>
        <w:t xml:space="preserve">  DOT A0, Q0, Q1, ACC</w:t>
        <w:br/>
        <w:t xml:space="preserve">  SAD A1, R4, Q0, ACC      ; only if the mixed form is defined by the final encoding</w:t>
      </w:r>
    </w:p>
    <w:p>
      <w:pPr>
        <w:pStyle w:val="Heading1"/>
      </w:pPr>
      <w:r>
        <w:t>Atomicity</w:t>
      </w:r>
    </w:p>
    <w:p>
      <w:pPr>
        <w:pStyle w:val="ListBullet"/>
      </w:pPr>
      <w:r>
        <w:t>A stream source advances once only when the instruction successfully retires.</w:t>
      </w:r>
    </w:p>
    <w:p>
      <w:pPr>
        <w:pStyle w:val="ListBullet"/>
      </w:pPr>
      <w:r>
        <w:t>A stream destination advances once only when the produced result successfully retires.</w:t>
      </w:r>
    </w:p>
    <w:p>
      <w:pPr>
        <w:pStyle w:val="ListBullet"/>
      </w:pPr>
      <w:r>
        <w:t>Two stream sources advance together or not at all.</w:t>
      </w:r>
    </w:p>
    <w:p>
      <w:pPr>
        <w:pStyle w:val="ListBullet"/>
      </w:pPr>
      <w:r>
        <w:t>A consume-plus-produce instruction updates both participating streams and its architectural result atomically.</w:t>
      </w:r>
    </w:p>
    <w:p>
      <w:pPr>
        <w:pStyle w:val="ListBullet"/>
      </w:pPr>
      <w:r>
        <w:t>Faults, flushes, and interrupted unretired instructions leave all participating streams unchanged.</w:t>
      </w:r>
    </w:p>
    <w:p>
      <w:pPr>
        <w:pStyle w:val="Heading1"/>
      </w:pPr>
      <w:r>
        <w:t>MOV and CMOV</w:t>
      </w:r>
    </w:p>
    <w:p>
      <w:r>
        <w:t>MOV and CMOV accept only GPR values. Packed CMOV performs lane-wise selection using packed predicate flags, but it cannot name Q0/Q1. Therefore both predicate outcomes have identical stream and address side effects: none.</w:t>
      </w:r>
    </w:p>
    <w:p>
      <w:pPr>
        <w:pStyle w:val="Heading1"/>
      </w:pPr>
      <w:r>
        <w:t>Reserved POPMETA Form</w:t>
      </w:r>
    </w:p>
    <w:p>
      <w:r>
        <w:t>POPMETA Rd:Rd+1, Qn, meta remains a reserved encoding concept. If allocated later, Rd:Rd+1 is an aligned pair: Rd receives popped data and Rd+1 receives selected metadata such as ORD_LAST or ADDR_LAST.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