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Master Documentation Index Update — v1.2r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Supersedes</w:t>
            </w:r>
          </w:p>
        </w:tc>
      </w:tr>
      <w:tr>
        <w:tc>
          <w:tcPr>
            <w:tcW w:type="dxa" w:w="2160"/>
          </w:tcPr>
          <w:p>
            <w:r>
              <w:t>AUR-ARCH-005 Instruction Reference</w:t>
            </w:r>
          </w:p>
        </w:tc>
        <w:tc>
          <w:tcPr>
            <w:tcW w:type="dxa" w:w="2160"/>
          </w:tcPr>
          <w:p>
            <w:r>
              <w:t>v1.2r canonical working version</w:t>
            </w:r>
          </w:p>
        </w:tc>
        <w:tc>
          <w:tcPr>
            <w:tcW w:type="dxa" w:w="2160"/>
          </w:tcPr>
          <w:p>
            <w:r>
              <w:t>Corrects stream access: implicit computation, explicit standalone transfers, pure MOV/CMOV</w:t>
            </w:r>
          </w:p>
        </w:tc>
        <w:tc>
          <w:tcPr>
            <w:tcW w:type="dxa" w:w="2160"/>
          </w:tcPr>
          <w:p>
            <w:r>
              <w:t>v1.2q</w:t>
            </w:r>
          </w:p>
        </w:tc>
      </w:tr>
      <w:tr>
        <w:tc>
          <w:tcPr>
            <w:tcW w:type="dxa" w:w="2160"/>
          </w:tcPr>
          <w:p>
            <w:r>
              <w:t>Architecture Decision Log</w:t>
            </w:r>
          </w:p>
        </w:tc>
        <w:tc>
          <w:tcPr>
            <w:tcW w:type="dxa" w:w="2160"/>
          </w:tcPr>
          <w:p>
            <w:r>
              <w:t>ADR-STREAM-008 locked</w:t>
            </w:r>
          </w:p>
        </w:tc>
        <w:tc>
          <w:tcPr>
            <w:tcW w:type="dxa" w:w="2160"/>
          </w:tcPr>
          <w:p>
            <w:r>
              <w:t>Supersedes conflicting portions of ADR-STREAM-007</w:t>
            </w:r>
          </w:p>
        </w:tc>
        <w:tc>
          <w:tcPr>
            <w:tcW w:type="dxa" w:w="2160"/>
          </w:tcPr>
          <w:p>
            <w:r>
              <w:t>ADR-STREAM-007 stream-only wording</w:t>
            </w:r>
          </w:p>
        </w:tc>
      </w:tr>
      <w:tr>
        <w:tc>
          <w:tcPr>
            <w:tcW w:type="dxa" w:w="2160"/>
          </w:tcPr>
          <w:p>
            <w:r>
              <w:t>Documentation Decision Log</w:t>
            </w:r>
          </w:p>
        </w:tc>
        <w:tc>
          <w:tcPr>
            <w:tcW w:type="dxa" w:w="2160"/>
          </w:tcPr>
          <w:p>
            <w:r>
              <w:t>DDR-0061 locked</w:t>
            </w:r>
          </w:p>
        </w:tc>
        <w:tc>
          <w:tcPr>
            <w:tcW w:type="dxa" w:w="2160"/>
          </w:tcPr>
          <w:p>
            <w:r>
              <w:t>Requires exact rule across all implementation and toolchain docs</w:t>
            </w:r>
          </w:p>
        </w:tc>
        <w:tc>
          <w:tcPr>
            <w:tcW w:type="dxa" w:w="2160"/>
          </w:tcPr>
          <w:p>
            <w:r>
              <w:t>DDR-0060 conflicting wording</w:t>
            </w:r>
          </w:p>
        </w:tc>
      </w:tr>
      <w:tr>
        <w:tc>
          <w:tcPr>
            <w:tcW w:type="dxa" w:w="2160"/>
          </w:tcPr>
          <w:p>
            <w:r>
              <w:t>Reserved instruction space</w:t>
            </w:r>
          </w:p>
        </w:tc>
        <w:tc>
          <w:tcPr>
            <w:tcW w:type="dxa" w:w="2160"/>
          </w:tcPr>
          <w:p>
            <w:r>
              <w:t>POPMETA reserved</w:t>
            </w:r>
          </w:p>
        </w:tc>
        <w:tc>
          <w:tcPr>
            <w:tcW w:type="dxa" w:w="2160"/>
          </w:tcPr>
          <w:p>
            <w:r>
              <w:t>Aligned pair returns data plus metadata if later allocated</w:t>
            </w:r>
          </w:p>
        </w:tc>
        <w:tc>
          <w:tcPr>
            <w:tcW w:type="dxa" w:w="2160"/>
          </w:tcPr>
          <w:p>
            <w:r>
              <w:t>proposal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