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Aurora Documentation Decision Log</w:t>
      </w:r>
    </w:p>
    <w:p>
      <w:pPr>
        <w:jc w:val="center"/>
      </w:pPr>
      <w:r>
        <w:rPr>
          <w:b/>
        </w:rPr>
        <w:t>Current consolidated preservation copy • August 3, 2026</w:t>
      </w:r>
    </w:p>
    <w:p>
      <w:pPr>
        <w:pStyle w:val="Heading1"/>
      </w:pPr>
      <w:r>
        <w:t>Purpose and Authority</w:t>
      </w:r>
    </w:p>
    <w:p>
      <w:r>
        <w:t>This preservation copy combines the original Documentation Decision Register and every later DDR artifact located in the project files. Missing identifiers are explicitly noted rather than reconstructed.</w:t>
      </w:r>
    </w:p>
    <w:p>
      <w:pPr>
        <w:pStyle w:val="Heading1"/>
      </w:pPr>
      <w:r>
        <w:t>Original Documentation 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r>
              <w:rPr>
                <w:b/>
              </w:rPr>
              <w:t>DDR ID</w:t>
            </w:r>
          </w:p>
        </w:tc>
        <w:tc>
          <w:tcPr>
            <w:tcW w:type="dxa" w:w="5328"/>
            <w:shd w:fill="D9EAF7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440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760"/>
            <w:shd w:fill="D9EAF7"/>
            <w:vAlign w:val="center"/>
          </w:tcPr>
          <w:p>
            <w:r>
              <w:rPr>
                <w:b/>
              </w:rPr>
              <w:t>Rationale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DDR-0001</w:t>
            </w:r>
          </w:p>
        </w:tc>
        <w:tc>
          <w:tcPr>
            <w:tcW w:type="dxa" w:w="5328"/>
            <w:vAlign w:val="top"/>
          </w:tcPr>
          <w:p>
            <w:r>
              <w:t>Adopt stable document IDs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5760"/>
            <w:vAlign w:val="top"/>
          </w:tcPr>
          <w:p>
            <w:r>
              <w:t>Enables cross-reference and lifecycle tracking.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DDR-0002</w:t>
            </w:r>
          </w:p>
        </w:tc>
        <w:tc>
          <w:tcPr>
            <w:tcW w:type="dxa" w:w="5328"/>
            <w:vAlign w:val="top"/>
          </w:tcPr>
          <w:p>
            <w:r>
              <w:t>Architecture Bible is canonical rationale source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5760"/>
            <w:vAlign w:val="top"/>
          </w:tcPr>
          <w:p>
            <w:r>
              <w:t>Avoids duplicated rationale.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DDR-0003</w:t>
            </w:r>
          </w:p>
        </w:tc>
        <w:tc>
          <w:tcPr>
            <w:tcW w:type="dxa" w:w="5328"/>
            <w:vAlign w:val="top"/>
          </w:tcPr>
          <w:p>
            <w:r>
              <w:t>Machine-readable ISA is canonical encoding source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5760"/>
            <w:vAlign w:val="top"/>
          </w:tcPr>
          <w:p>
            <w:r>
              <w:t>Prevents assembler/RTL/doc drift.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DDR-0004</w:t>
            </w:r>
          </w:p>
        </w:tc>
        <w:tc>
          <w:tcPr>
            <w:tcW w:type="dxa" w:w="5328"/>
            <w:vAlign w:val="top"/>
          </w:tcPr>
          <w:p>
            <w:r>
              <w:t>Separate RTL, simulator, FPGA and ASIC documents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5760"/>
            <w:vAlign w:val="top"/>
          </w:tcPr>
          <w:p>
            <w:r>
              <w:t>Different audiences and lifecycle.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DDR-0005</w:t>
            </w:r>
          </w:p>
        </w:tc>
        <w:tc>
          <w:tcPr>
            <w:tcW w:type="dxa" w:w="5328"/>
            <w:vAlign w:val="top"/>
          </w:tcPr>
          <w:p>
            <w:r>
              <w:t>Split inside-chip, system-context and signal-interface documents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5760"/>
            <w:vAlign w:val="top"/>
          </w:tcPr>
          <w:p>
            <w:r>
              <w:t>Separates logical/physical core, SoC integration and board-facing interfaces.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DDR-0006</w:t>
            </w:r>
          </w:p>
        </w:tc>
        <w:tc>
          <w:tcPr>
            <w:tcW w:type="dxa" w:w="5328"/>
            <w:vAlign w:val="top"/>
          </w:tcPr>
          <w:p>
            <w:r>
              <w:t>Maintain document outline database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5760"/>
            <w:vAlign w:val="top"/>
          </w:tcPr>
          <w:p>
            <w:r>
              <w:t>Tracks internal structure and completion.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DDR-0007</w:t>
            </w:r>
          </w:p>
        </w:tc>
        <w:tc>
          <w:tcPr>
            <w:tcW w:type="dxa" w:w="5328"/>
            <w:vAlign w:val="top"/>
          </w:tcPr>
          <w:p>
            <w:r>
              <w:t>Maintain requirements traceability database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5760"/>
            <w:vAlign w:val="top"/>
          </w:tcPr>
          <w:p>
            <w:r>
              <w:t>Links needs to ADRs, specs and tests.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DDR-0008</w:t>
            </w:r>
          </w:p>
        </w:tc>
        <w:tc>
          <w:tcPr>
            <w:tcW w:type="dxa" w:w="5328"/>
            <w:vAlign w:val="top"/>
          </w:tcPr>
          <w:p>
            <w:r>
              <w:t>Maintain topic index</w:t>
            </w:r>
          </w:p>
        </w:tc>
        <w:tc>
          <w:tcPr>
            <w:tcW w:type="dxa" w:w="1440"/>
            <w:vAlign w:val="top"/>
          </w:tcPr>
          <w:p>
            <w:r>
              <w:t>Accepted</w:t>
            </w:r>
          </w:p>
        </w:tc>
        <w:tc>
          <w:tcPr>
            <w:tcW w:type="dxa" w:w="5760"/>
            <w:vAlign w:val="top"/>
          </w:tcPr>
          <w:p>
            <w:r>
              <w:t>Supports cross-document navigation by subject.</w:t>
            </w:r>
          </w:p>
        </w:tc>
      </w:tr>
    </w:tbl>
    <w:p>
      <w:r>
        <w:br w:type="page"/>
      </w:r>
    </w:p>
    <w:p>
      <w:pPr>
        <w:pStyle w:val="Heading1"/>
      </w:pPr>
      <w:r>
        <w:t>Later Documentation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r>
              <w:rPr>
                <w:b/>
              </w:rPr>
              <w:t>DDR ID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Record title</w:t>
            </w:r>
          </w:p>
        </w:tc>
        <w:tc>
          <w:tcPr>
            <w:tcW w:type="dxa" w:w="1584"/>
            <w:shd w:fill="D9EAF7"/>
            <w:vAlign w:val="center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Repository file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Supersession / notes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DDR-0046</w:t>
            </w:r>
          </w:p>
        </w:tc>
        <w:tc>
          <w:tcPr>
            <w:tcW w:type="dxa" w:w="4320"/>
            <w:vAlign w:val="top"/>
          </w:tcPr>
          <w:p>
            <w:r>
              <w:t>Aurora Documentation Decision Register — Addendum</w:t>
            </w:r>
          </w:p>
        </w:tc>
        <w:tc>
          <w:tcPr>
            <w:tcW w:type="dxa" w:w="1584"/>
            <w:vAlign w:val="top"/>
          </w:tcPr>
          <w:p>
            <w:r>
              <w:t>Locked/Accepted</w:t>
            </w:r>
          </w:p>
        </w:tc>
        <w:tc>
          <w:tcPr>
            <w:tcW w:type="dxa" w:w="3312"/>
            <w:vAlign w:val="top"/>
          </w:tcPr>
          <w:p>
            <w:r>
              <w:t>documentation-records/AUR-PM-008_DDR_Addendum_0046_Instruction_Bytecodes.docx</w:t>
            </w:r>
          </w:p>
        </w:tc>
        <w:tc>
          <w:tcPr>
            <w:tcW w:type="dxa" w:w="3456"/>
            <w:vAlign w:val="top"/>
          </w:tcPr>
          <w:p>
            <w:r>
              <w:t>Standalone documentation decision preserved.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DDR-0047</w:t>
            </w:r>
          </w:p>
        </w:tc>
        <w:tc>
          <w:tcPr>
            <w:tcW w:type="dxa" w:w="4320"/>
            <w:vAlign w:val="top"/>
          </w:tcPr>
          <w:p>
            <w:r>
              <w:t>DDR-0047 — Document MODE and Two-Dimensional Stream Configuration</w:t>
            </w:r>
          </w:p>
        </w:tc>
        <w:tc>
          <w:tcPr>
            <w:tcW w:type="dxa" w:w="1584"/>
            <w:vAlign w:val="top"/>
          </w:tcPr>
          <w:p>
            <w:r>
              <w:t>Locked/Accepted</w:t>
            </w:r>
          </w:p>
        </w:tc>
        <w:tc>
          <w:tcPr>
            <w:tcW w:type="dxa" w:w="3312"/>
            <w:vAlign w:val="top"/>
          </w:tcPr>
          <w:p>
            <w:r>
              <w:t>documentation-records/DDR-0047_MODE_and_2D_Stream_Documentation.docx</w:t>
            </w:r>
          </w:p>
        </w:tc>
        <w:tc>
          <w:tcPr>
            <w:tcW w:type="dxa" w:w="3456"/>
            <w:vAlign w:val="top"/>
          </w:tcPr>
          <w:p>
            <w:r>
              <w:t>Standalone documentation decision preserved.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DDR-0048</w:t>
            </w:r>
          </w:p>
        </w:tc>
        <w:tc>
          <w:tcPr>
            <w:tcW w:type="dxa" w:w="4320"/>
            <w:vAlign w:val="top"/>
          </w:tcPr>
          <w:p>
            <w:r>
              <w:t>DDR-0048 — Document Privilege, Wait/Halt, and Context Transfer Instructions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312"/>
            <w:vAlign w:val="top"/>
          </w:tcPr>
          <w:p>
            <w:r>
              <w:t>documentation-records/DDR-0048_Privilege_Wait_Halt_and_Context_Documentation.docx</w:t>
            </w:r>
          </w:p>
        </w:tc>
        <w:tc>
          <w:tcPr>
            <w:tcW w:type="dxa" w:w="3456"/>
            <w:vAlign w:val="top"/>
          </w:tcPr>
          <w:p>
            <w:r>
              <w:t>Standalone documentation decision preserved.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DDR-0049</w:t>
            </w:r>
          </w:p>
        </w:tc>
        <w:tc>
          <w:tcPr>
            <w:tcW w:type="dxa" w:w="4320"/>
            <w:vAlign w:val="top"/>
          </w:tcPr>
          <w:p>
            <w:r>
              <w:t>DDR-0049 — Document Extension and Bounds-Fault Semantics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312"/>
            <w:vAlign w:val="top"/>
          </w:tcPr>
          <w:p>
            <w:r>
              <w:t>documentation-records/DDR-0049_Extension_and_Bounds_Fault_Documentation.docx</w:t>
            </w:r>
          </w:p>
        </w:tc>
        <w:tc>
          <w:tcPr>
            <w:tcW w:type="dxa" w:w="3456"/>
            <w:vAlign w:val="top"/>
          </w:tcPr>
          <w:p>
            <w:r>
              <w:t>Standalone documentation decision preserved.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DDR-0050</w:t>
            </w:r>
          </w:p>
        </w:tc>
        <w:tc>
          <w:tcPr>
            <w:tcW w:type="dxa" w:w="4320"/>
            <w:vAlign w:val="top"/>
          </w:tcPr>
          <w:p>
            <w:r>
              <w:t>DDR-0050 — Hardware Loop Documentation and Terminology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312"/>
            <w:vAlign w:val="top"/>
          </w:tcPr>
          <w:p>
            <w:r>
              <w:t>documentation-records/DDR-0050_Hardware_Loop_Documentation.docx</w:t>
            </w:r>
          </w:p>
        </w:tc>
        <w:tc>
          <w:tcPr>
            <w:tcW w:type="dxa" w:w="3456"/>
            <w:vAlign w:val="top"/>
          </w:tcPr>
          <w:p>
            <w:r>
              <w:t>Standalone documentation decision preserved.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DDR-0051</w:t>
            </w:r>
          </w:p>
        </w:tc>
        <w:tc>
          <w:tcPr>
            <w:tcW w:type="dxa" w:w="4320"/>
            <w:vAlign w:val="top"/>
          </w:tcPr>
          <w:p>
            <w:r>
              <w:t>DDR-0051 — Pinned Stream Documentation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312"/>
            <w:vAlign w:val="top"/>
          </w:tcPr>
          <w:p>
            <w:r>
              <w:t>documentation-records/DDR-0051_Pinned_Stream_Documentation.docx</w:t>
            </w:r>
          </w:p>
        </w:tc>
        <w:tc>
          <w:tcPr>
            <w:tcW w:type="dxa" w:w="3456"/>
            <w:vAlign w:val="top"/>
          </w:tcPr>
          <w:p>
            <w:r>
              <w:t>Standalone documentation decision preserved.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DDR-0052</w:t>
            </w:r>
          </w:p>
        </w:tc>
        <w:tc>
          <w:tcPr>
            <w:tcW w:type="dxa" w:w="4320"/>
            <w:vAlign w:val="top"/>
          </w:tcPr>
          <w:p>
            <w:r>
              <w:t>DDR-0052 — Complex Multiply Mode Documentation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312"/>
            <w:vAlign w:val="top"/>
          </w:tcPr>
          <w:p>
            <w:r>
              <w:t>documentation-records/DDR-0052_Complex_Multiply_Mode_Documentation.docx</w:t>
            </w:r>
          </w:p>
        </w:tc>
        <w:tc>
          <w:tcPr>
            <w:tcW w:type="dxa" w:w="3456"/>
            <w:vAlign w:val="top"/>
          </w:tcPr>
          <w:p>
            <w:r>
              <w:t>Standalone documentation decision preserved.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DDR-0053</w:t>
            </w:r>
          </w:p>
        </w:tc>
        <w:tc>
          <w:tcPr>
            <w:tcW w:type="dxa" w:w="4320"/>
            <w:vAlign w:val="top"/>
          </w:tcPr>
          <w:p>
            <w:r>
              <w:t>DDR-0053 — COMPLEX16 Overflow Documentation Revision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312"/>
            <w:vAlign w:val="top"/>
          </w:tcPr>
          <w:p>
            <w:r>
              <w:t>documentation-records/DDR-0053_COMPLEX16_Overflow_Documentation_Revision.docx</w:t>
            </w:r>
          </w:p>
        </w:tc>
        <w:tc>
          <w:tcPr>
            <w:tcW w:type="dxa" w:w="3456"/>
            <w:vAlign w:val="top"/>
          </w:tcPr>
          <w:p>
            <w:r>
              <w:t>Standalone documentation decision preserved.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DDR-0054</w:t>
            </w:r>
          </w:p>
        </w:tc>
        <w:tc>
          <w:tcPr>
            <w:tcW w:type="dxa" w:w="4320"/>
            <w:vAlign w:val="top"/>
          </w:tcPr>
          <w:p>
            <w:r>
              <w:t>DDR-0054 — Multiply Mode-Bit Documentation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312"/>
            <w:vAlign w:val="top"/>
          </w:tcPr>
          <w:p>
            <w:r>
              <w:t>documentation-records/DDR-0054_Multiply_Mode_Bit_Documentation.docx</w:t>
            </w:r>
          </w:p>
        </w:tc>
        <w:tc>
          <w:tcPr>
            <w:tcW w:type="dxa" w:w="3456"/>
            <w:vAlign w:val="top"/>
          </w:tcPr>
          <w:p>
            <w:r>
              <w:t>Standalone documentation decision preserved.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DDR-0055</w:t>
            </w:r>
          </w:p>
        </w:tc>
        <w:tc>
          <w:tcPr>
            <w:tcW w:type="dxa" w:w="4320"/>
            <w:vAlign w:val="top"/>
          </w:tcPr>
          <w:p>
            <w:r>
              <w:t>DDR-0055 — Rounding and Saturation Documentation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312"/>
            <w:vAlign w:val="top"/>
          </w:tcPr>
          <w:p>
            <w:r>
              <w:t>documentation-records/DDR-0055_Rounding_and_Saturation_Documentation.docx</w:t>
            </w:r>
          </w:p>
        </w:tc>
        <w:tc>
          <w:tcPr>
            <w:tcW w:type="dxa" w:w="3456"/>
            <w:vAlign w:val="top"/>
          </w:tcPr>
          <w:p>
            <w:r>
              <w:t>Standalone documentation decision preserved.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DDR-0056</w:t>
            </w:r>
          </w:p>
        </w:tc>
        <w:tc>
          <w:tcPr>
            <w:tcW w:type="dxa" w:w="4320"/>
            <w:vAlign w:val="top"/>
          </w:tcPr>
          <w:p>
            <w:r>
              <w:t>DDR-0056 — COMPLEX8 Documentation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312"/>
            <w:vAlign w:val="top"/>
          </w:tcPr>
          <w:p>
            <w:r>
              <w:t>documentation-records/DDR-0056_COMPLEX8_Documentation.docx</w:t>
            </w:r>
          </w:p>
        </w:tc>
        <w:tc>
          <w:tcPr>
            <w:tcW w:type="dxa" w:w="3456"/>
            <w:vAlign w:val="top"/>
          </w:tcPr>
          <w:p>
            <w:r>
              <w:t>Standalone documentation decision preserved.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DDR-0057</w:t>
            </w:r>
          </w:p>
        </w:tc>
        <w:tc>
          <w:tcPr>
            <w:tcW w:type="dxa" w:w="4320"/>
            <w:vAlign w:val="top"/>
          </w:tcPr>
          <w:p>
            <w:r>
              <w:t>DDR-0057 — CONJ Instruction Documentation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312"/>
            <w:vAlign w:val="top"/>
          </w:tcPr>
          <w:p>
            <w:r>
              <w:t>documentation-records/DDR-0057_CONJ_Instruction_Documentation.docx</w:t>
            </w:r>
          </w:p>
        </w:tc>
        <w:tc>
          <w:tcPr>
            <w:tcW w:type="dxa" w:w="3456"/>
            <w:vAlign w:val="top"/>
          </w:tcPr>
          <w:p>
            <w:r>
              <w:t>Standalone documentation decision preserved.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DDR-0058</w:t>
            </w:r>
          </w:p>
        </w:tc>
        <w:tc>
          <w:tcPr>
            <w:tcW w:type="dxa" w:w="4320"/>
            <w:vAlign w:val="top"/>
          </w:tcPr>
          <w:p>
            <w:r>
              <w:t>DDR-0058 — DMA and Reduction/Stream Documentation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312"/>
            <w:vAlign w:val="top"/>
          </w:tcPr>
          <w:p>
            <w:r>
              <w:t>documentation-records/DDR-0058_DMA_and_Separation_Documentation.docx</w:t>
            </w:r>
          </w:p>
        </w:tc>
        <w:tc>
          <w:tcPr>
            <w:tcW w:type="dxa" w:w="3456"/>
            <w:vAlign w:val="top"/>
          </w:tcPr>
          <w:p>
            <w:r>
              <w:t>Standalone documentation decision preserved.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DDR-0059</w:t>
            </w:r>
          </w:p>
        </w:tc>
        <w:tc>
          <w:tcPr>
            <w:tcW w:type="dxa" w:w="4320"/>
            <w:vAlign w:val="top"/>
          </w:tcPr>
          <w:p>
            <w:r>
              <w:t>DDR-0059 — ZR, Compare Aliases, and Packed Predicate Documentation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312"/>
            <w:vAlign w:val="top"/>
          </w:tcPr>
          <w:p>
            <w:r>
              <w:t>documentation-records/DDR-0059_ZR_Compare_and_Predicate_Documentation.docx</w:t>
            </w:r>
          </w:p>
        </w:tc>
        <w:tc>
          <w:tcPr>
            <w:tcW w:type="dxa" w:w="3456"/>
            <w:vAlign w:val="top"/>
          </w:tcPr>
          <w:p>
            <w:r>
              <w:t>Standalone documentation decision preserved.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DDR-0060</w:t>
            </w:r>
          </w:p>
        </w:tc>
        <w:tc>
          <w:tcPr>
            <w:tcW w:type="dxa" w:w="4320"/>
            <w:vAlign w:val="top"/>
          </w:tcPr>
          <w:p>
            <w:r>
              <w:t>DDR-0060 — Explicit Stream Access Documentation</w:t>
            </w:r>
          </w:p>
        </w:tc>
        <w:tc>
          <w:tcPr>
            <w:tcW w:type="dxa" w:w="1584"/>
            <w:vAlign w:val="top"/>
          </w:tcPr>
          <w:p>
            <w:r>
              <w:t>Partially superseded</w:t>
            </w:r>
          </w:p>
        </w:tc>
        <w:tc>
          <w:tcPr>
            <w:tcW w:type="dxa" w:w="3312"/>
            <w:vAlign w:val="top"/>
          </w:tcPr>
          <w:p>
            <w:r>
              <w:t>documentation-records/DDR-0060_Explicit_Stream_Access_Documentation.docx</w:t>
            </w:r>
          </w:p>
        </w:tc>
        <w:tc>
          <w:tcPr>
            <w:tcW w:type="dxa" w:w="3456"/>
            <w:vAlign w:val="top"/>
          </w:tcPr>
          <w:p>
            <w:r>
              <w:t>Superseded by DDR-0061 where it claimed only POP/PUSH/PEEK could access streams; pure MOV/CMOV documentation remains valid.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DDR-0061</w:t>
            </w:r>
          </w:p>
        </w:tc>
        <w:tc>
          <w:tcPr>
            <w:tcW w:type="dxa" w:w="4320"/>
            <w:vAlign w:val="top"/>
          </w:tcPr>
          <w:p>
            <w:r>
              <w:t>DDR-0061 — Corrected Stream-Access Documentation Rule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312"/>
            <w:vAlign w:val="top"/>
          </w:tcPr>
          <w:p>
            <w:r>
              <w:t>documentation-records/DDR-0061_Corrected_Stream_Access_Documentation_Rule.docx</w:t>
            </w:r>
          </w:p>
        </w:tc>
        <w:tc>
          <w:tcPr>
            <w:tcW w:type="dxa" w:w="3456"/>
            <w:vAlign w:val="top"/>
          </w:tcPr>
          <w:p>
            <w:r>
              <w:t>Standalone documentation decision preserved.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DDR-0062</w:t>
            </w:r>
          </w:p>
        </w:tc>
        <w:tc>
          <w:tcPr>
            <w:tcW w:type="dxa" w:w="4320"/>
            <w:vAlign w:val="top"/>
          </w:tcPr>
          <w:p>
            <w:r>
              <w:t>DDR-0062 — Prefetch and Hardware-Loop Window Documentation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312"/>
            <w:vAlign w:val="top"/>
          </w:tcPr>
          <w:p>
            <w:r>
              <w:t>documentation-records/DDR-0062_Prefetch_and_Hardware_Loop_Window_Documentation.docx</w:t>
            </w:r>
          </w:p>
        </w:tc>
        <w:tc>
          <w:tcPr>
            <w:tcW w:type="dxa" w:w="3456"/>
            <w:vAlign w:val="top"/>
          </w:tcPr>
          <w:p>
            <w:r>
              <w:t>Standalone documentation decision preserved.</w:t>
            </w:r>
          </w:p>
        </w:tc>
      </w:tr>
    </w:tbl>
    <w:p>
      <w:r>
        <w:t>Missing-number note: DDR-0009 through DDR-0045 were not found in the available artifacts and are not invented in this consolidation.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