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ADR-DSP-012 — COMPLEX16 Result Width and Overflow Handling</w:t>
      </w:r>
    </w:p>
    <w:p>
      <w:r>
        <w:t>Status: LOCKED</w:t>
        <w:br/>
        <w:t>Architecture baseline: Aurora v1.2j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Aurora retains a uniform 32-bit general-purpose register width. No 33-bit GPR format or special extra result bit is added.</w:t>
      </w:r>
    </w:p>
    <w:p>
      <w:pPr>
        <w:pStyle w:val="ListBullet"/>
      </w:pPr>
      <w:r>
        <w:t>COMPLEX16 MUL accepts packed signed sources [imaginary:16 | real:16].</w:t>
      </w:r>
    </w:p>
    <w:p>
      <w:pPr>
        <w:pStyle w:val="ListBullet"/>
      </w:pPr>
      <w:r>
        <w:t>The exact mathematical real and imaginary components may each require 33 signed bits.</w:t>
      </w:r>
    </w:p>
    <w:p>
      <w:pPr>
        <w:pStyle w:val="ListBullet"/>
      </w:pPr>
      <w:r>
        <w:t>COMPLEX16 MUL writes one aligned 64-bit destination pair: Rd receives the low 32 bits of the real component and Rd+1 receives the low 32 bits of the imaginary component.</w:t>
      </w:r>
    </w:p>
    <w:p>
      <w:pPr>
        <w:pStyle w:val="ListBullet"/>
      </w:pPr>
      <w:r>
        <w:t>If either exact component is outside the signed 32-bit range, the corresponding sticky DSP overflow status is set.</w:t>
      </w:r>
    </w:p>
    <w:p>
      <w:pPr>
        <w:pStyle w:val="ListBullet"/>
      </w:pPr>
      <w:r>
        <w:t>The architecture provides separate sticky real and imaginary overflow indications, COVR and COVI, plus an aggregate COV condition defined as COVR OR COVI.</w:t>
      </w:r>
    </w:p>
    <w:p>
      <w:pPr>
        <w:pStyle w:val="ListBullet"/>
      </w:pPr>
      <w:r>
        <w:t>Overflow does not trap or interrupt by default.</w:t>
      </w:r>
    </w:p>
    <w:p>
      <w:pPr>
        <w:pStyle w:val="ListBullet"/>
      </w:pPr>
      <w:r>
        <w:t>An implementation may provide a privileged trap-enable control that converts newly detected complex overflow into a precise DSP-overflow exception, but this is optional and disabled after reset.</w:t>
      </w:r>
    </w:p>
    <w:p>
      <w:pPr>
        <w:pStyle w:val="ListBullet"/>
      </w:pPr>
      <w:r>
        <w:t>COMPLEX16 MAC and MAS accumulate the exact widened real and imaginary components into A0 and A1 respectively, preserving the full product range subject to the existing accumulator-width and overflow rules.</w:t>
      </w:r>
    </w:p>
    <w:p>
      <w:pPr>
        <w:pStyle w:val="ListBullet"/>
      </w:pPr>
      <w:r>
        <w:t>COMPLEX16 MUL therefore uses compact packed results, while MAC/MAS provide the exact accumulation path for precision-sensitive DSP kernels.</w:t>
      </w:r>
    </w:p>
    <w:p>
      <w:pPr>
        <w:pStyle w:val="ListBullet"/>
      </w:pPr>
      <w:r>
        <w:t>The prior v1.2i four-register exact-result layout is superseded.</w:t>
      </w:r>
    </w:p>
    <w:p>
      <w:pPr>
        <w:pStyle w:val="Heading1"/>
      </w:pPr>
      <w:r>
        <w:t>Result Layout</w:t>
      </w:r>
    </w:p>
    <w:p>
      <w:r>
        <w:t>Sources:</w:t>
        <w:br/>
        <w:t xml:space="preserve">  Rs = [ Ai:16 | Ar:16 ]</w:t>
        <w:br/>
        <w:t xml:space="preserve">  Rt = [ Bi:16 | Br:16 ]</w:t>
        <w:br/>
        <w:br/>
        <w:t>Exact internal values:</w:t>
        <w:br/>
        <w:t xml:space="preserve">  Real33 = Ar*Br - Ai*Bi</w:t>
        <w:br/>
        <w:t xml:space="preserve">  Imag33 = Ar*Bi + Ai*Br</w:t>
        <w:br/>
        <w:br/>
        <w:t>Architectural MUL result:</w:t>
        <w:br/>
        <w:t xml:space="preserve">  Rd   = Real33[31:0]</w:t>
        <w:br/>
        <w:t xml:space="preserve">  Rd+1 = Imag33[31:0]</w:t>
        <w:br/>
        <w:t xml:space="preserve">  COVR = sticky(COVR OR !fits_signed32(Real33))</w:t>
        <w:br/>
        <w:t xml:space="preserve">  COVI = sticky(COVI OR !fits_signed32(Imag33))</w:t>
      </w:r>
    </w:p>
    <w:p>
      <w:pPr>
        <w:pStyle w:val="Heading1"/>
      </w:pPr>
      <w:r>
        <w:t>Rationale</w:t>
      </w:r>
    </w:p>
    <w:p>
      <w:r>
        <w:t>Changing the register file, forwarding network, scoreboard, ABI, debugger state, and context format for a single extra complex-result bit would be disproportionate. Sticky overflow reporting preserves visibility of lost range, while A0/A1 retain an exact accumulation path for the workloads where that precision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