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Aurora Architecture Decision Log</w:t>
      </w:r>
    </w:p>
    <w:p>
      <w:pPr>
        <w:jc w:val="center"/>
      </w:pPr>
      <w:r>
        <w:rPr>
          <w:b/>
        </w:rPr>
        <w:t>Current consolidated preservation copy • August 3, 2026</w:t>
      </w:r>
    </w:p>
    <w:p>
      <w:pPr>
        <w:pStyle w:val="Heading1"/>
      </w:pPr>
      <w:r>
        <w:t>Purpose and Authority</w:t>
      </w:r>
    </w:p>
    <w:p>
      <w:r>
        <w:t>This preservation copy combines the original ADR register, standalone later ADRs, and late-session decisions that were not yet assigned permanent ADR numbers. Newer records supersede conflicting older wording.</w:t>
      </w:r>
    </w:p>
    <w:p>
      <w:pPr>
        <w:pStyle w:val="Heading1"/>
      </w:pPr>
      <w:r>
        <w:t>Original ADR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1440"/>
            <w:shd w:fill="D9EAF7"/>
            <w:vAlign w:val="center"/>
          </w:tcPr>
          <w:p>
            <w:r>
              <w:rPr>
                <w:b/>
              </w:rPr>
              <w:t>ADR ID</w:t>
            </w:r>
          </w:p>
        </w:tc>
        <w:tc>
          <w:tcPr>
            <w:tcW w:type="dxa" w:w="4464"/>
            <w:shd w:fill="D9EAF7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440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b/>
              </w:rPr>
              <w:t>Primary document</w:t>
            </w:r>
          </w:p>
        </w:tc>
        <w:tc>
          <w:tcPr>
            <w:tcW w:type="dxa" w:w="3744"/>
            <w:shd w:fill="D9EAF7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ADR-0001</w:t>
            </w:r>
          </w:p>
        </w:tc>
        <w:tc>
          <w:tcPr>
            <w:tcW w:type="dxa" w:w="4464"/>
            <w:vAlign w:val="top"/>
          </w:tcPr>
          <w:p>
            <w:r>
              <w:t>Mission: MCU + low/mid DSP consolidation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AUR-ARCH-001</w:t>
            </w:r>
          </w:p>
        </w:tc>
        <w:tc>
          <w:tcPr>
            <w:tcW w:type="dxa" w:w="3744"/>
            <w:vAlign w:val="top"/>
          </w:tcPr>
          <w:p>
            <w:r>
              <w:t>Core product identity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ADR-0002</w:t>
            </w:r>
          </w:p>
        </w:tc>
        <w:tc>
          <w:tcPr>
            <w:tcW w:type="dxa" w:w="4464"/>
            <w:vAlign w:val="top"/>
          </w:tcPr>
          <w:p>
            <w:r>
              <w:t>16-bit base ISA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AUR-ARCH-001</w:t>
            </w:r>
          </w:p>
        </w:tc>
        <w:tc>
          <w:tcPr>
            <w:tcW w:type="dxa" w:w="3744"/>
            <w:vAlign w:val="top"/>
          </w:tcPr>
          <w:p>
            <w:r>
              <w:t>Extension words for larger encodings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ADR-0003</w:t>
            </w:r>
          </w:p>
        </w:tc>
        <w:tc>
          <w:tcPr>
            <w:tcW w:type="dxa" w:w="4464"/>
            <w:vAlign w:val="top"/>
          </w:tcPr>
          <w:p>
            <w:r>
              <w:t>16 unified 32-bit GPRs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AUR-ARCH-001</w:t>
            </w:r>
          </w:p>
        </w:tc>
        <w:tc>
          <w:tcPr>
            <w:tcW w:type="dxa" w:w="3744"/>
            <w:vAlign w:val="top"/>
          </w:tcPr>
          <w:p>
            <w:r>
              <w:t>Unified register file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ADR-0004</w:t>
            </w:r>
          </w:p>
        </w:tc>
        <w:tc>
          <w:tcPr>
            <w:tcW w:type="dxa" w:w="4464"/>
            <w:vAlign w:val="top"/>
          </w:tcPr>
          <w:p>
            <w:r>
              <w:t>Paired-register 64-bit emulation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AUR-ARCH-001</w:t>
            </w:r>
          </w:p>
        </w:tc>
        <w:tc>
          <w:tcPr>
            <w:tcW w:type="dxa" w:w="3744"/>
            <w:vAlign w:val="top"/>
          </w:tcPr>
          <w:p>
            <w:r>
              <w:t>No native 64-bit core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ADR-0005</w:t>
            </w:r>
          </w:p>
        </w:tc>
        <w:tc>
          <w:tcPr>
            <w:tcW w:type="dxa" w:w="4464"/>
            <w:vAlign w:val="top"/>
          </w:tcPr>
          <w:p>
            <w:r>
              <w:t>R13 LR, R14 SP, R15 PC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AUR-ARCH-003</w:t>
            </w:r>
          </w:p>
        </w:tc>
        <w:tc>
          <w:tcPr>
            <w:tcW w:type="dxa" w:w="3744"/>
            <w:vAlign w:val="top"/>
          </w:tcPr>
          <w:p>
            <w:r>
              <w:t>Conditional LR allocation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ADR-0006</w:t>
            </w:r>
          </w:p>
        </w:tc>
        <w:tc>
          <w:tcPr>
            <w:tcW w:type="dxa" w:w="4464"/>
            <w:vAlign w:val="top"/>
          </w:tcPr>
          <w:p>
            <w:r>
              <w:t>40-bit accumulators A0/A1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AUR-ARCH-001</w:t>
            </w:r>
          </w:p>
        </w:tc>
        <w:tc>
          <w:tcPr>
            <w:tcW w:type="dxa" w:w="3744"/>
            <w:vAlign w:val="top"/>
          </w:tcPr>
          <w:p>
            <w:r>
              <w:t>DSP accumulators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ADR-0007</w:t>
            </w:r>
          </w:p>
        </w:tc>
        <w:tc>
          <w:tcPr>
            <w:tcW w:type="dxa" w:w="4464"/>
            <w:vAlign w:val="top"/>
          </w:tcPr>
          <w:p>
            <w:r>
              <w:t>Q0/Q1 stream engines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AUR-ARCH-001</w:t>
            </w:r>
          </w:p>
        </w:tc>
        <w:tc>
          <w:tcPr>
            <w:tcW w:type="dxa" w:w="3744"/>
            <w:vAlign w:val="top"/>
          </w:tcPr>
          <w:p>
            <w:r>
              <w:t>Overlay on R0/R4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ADR-0008</w:t>
            </w:r>
          </w:p>
        </w:tc>
        <w:tc>
          <w:tcPr>
            <w:tcW w:type="dxa" w:w="4464"/>
            <w:vAlign w:val="top"/>
          </w:tcPr>
          <w:p>
            <w:r>
              <w:t>Packed modes + L8/L16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AUR-ARCH-001</w:t>
            </w:r>
          </w:p>
        </w:tc>
        <w:tc>
          <w:tcPr>
            <w:tcW w:type="dxa" w:w="3744"/>
            <w:vAlign w:val="top"/>
          </w:tcPr>
          <w:p>
            <w:r>
              <w:t>Lane-preserving modes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ADR-0009</w:t>
            </w:r>
          </w:p>
        </w:tc>
        <w:tc>
          <w:tcPr>
            <w:tcW w:type="dxa" w:w="4464"/>
            <w:vAlign w:val="top"/>
          </w:tcPr>
          <w:p>
            <w:r>
              <w:t>Four-stage pipeline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AUR-ARCH-007</w:t>
            </w:r>
          </w:p>
        </w:tc>
        <w:tc>
          <w:tcPr>
            <w:tcW w:type="dxa" w:w="3744"/>
            <w:vAlign w:val="top"/>
          </w:tcPr>
          <w:p>
            <w:r>
              <w:t>In-order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ADR-0010</w:t>
            </w:r>
          </w:p>
        </w:tc>
        <w:tc>
          <w:tcPr>
            <w:tcW w:type="dxa" w:w="4464"/>
            <w:vAlign w:val="top"/>
          </w:tcPr>
          <w:p>
            <w:r>
              <w:t>Four-entry pairing window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AUR-ARCH-007</w:t>
            </w:r>
          </w:p>
        </w:tc>
        <w:tc>
          <w:tcPr>
            <w:tcW w:type="dxa" w:w="3744"/>
            <w:vAlign w:val="top"/>
          </w:tcPr>
          <w:p>
            <w:r>
              <w:t>Compiler-assisted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ADR-0011</w:t>
            </w:r>
          </w:p>
        </w:tc>
        <w:tc>
          <w:tcPr>
            <w:tcW w:type="dxa" w:w="4464"/>
            <w:vAlign w:val="top"/>
          </w:tcPr>
          <w:p>
            <w:r>
              <w:t>Symmetric dual-issue lanes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AUR-ARCH-007</w:t>
            </w:r>
          </w:p>
        </w:tc>
        <w:tc>
          <w:tcPr>
            <w:tcW w:type="dxa" w:w="3744"/>
            <w:vAlign w:val="top"/>
          </w:tcPr>
          <w:p>
            <w:r>
              <w:t>Shared execution resources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ADR-0012</w:t>
            </w:r>
          </w:p>
        </w:tc>
        <w:tc>
          <w:tcPr>
            <w:tcW w:type="dxa" w:w="4464"/>
            <w:vAlign w:val="top"/>
          </w:tcPr>
          <w:p>
            <w:r>
              <w:t>No renaming / no ROB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AUR-ARCH-007</w:t>
            </w:r>
          </w:p>
        </w:tc>
        <w:tc>
          <w:tcPr>
            <w:tcW w:type="dxa" w:w="3744"/>
            <w:vAlign w:val="top"/>
          </w:tcPr>
          <w:p>
            <w:r>
              <w:t>Deterministic execution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ADR-0013</w:t>
            </w:r>
          </w:p>
        </w:tc>
        <w:tc>
          <w:tcPr>
            <w:tcW w:type="dxa" w:w="4464"/>
            <w:vAlign w:val="top"/>
          </w:tcPr>
          <w:p>
            <w:r>
              <w:t>Backward-taken predictor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AUR-ARCH-007</w:t>
            </w:r>
          </w:p>
        </w:tc>
        <w:tc>
          <w:tcPr>
            <w:tcW w:type="dxa" w:w="3744"/>
            <w:vAlign w:val="top"/>
          </w:tcPr>
          <w:p>
            <w:r>
              <w:t>Simple branch prediction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ADR-0014</w:t>
            </w:r>
          </w:p>
        </w:tc>
        <w:tc>
          <w:tcPr>
            <w:tcW w:type="dxa" w:w="4464"/>
            <w:vAlign w:val="top"/>
          </w:tcPr>
          <w:p>
            <w:r>
              <w:t>Optional ITCM/DTCM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AUR-ARCH-006</w:t>
            </w:r>
          </w:p>
        </w:tc>
        <w:tc>
          <w:tcPr>
            <w:tcW w:type="dxa" w:w="3744"/>
            <w:vAlign w:val="top"/>
          </w:tcPr>
          <w:p>
            <w:r>
              <w:t>Profile-scalable memory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ADR-0015</w:t>
            </w:r>
          </w:p>
        </w:tc>
        <w:tc>
          <w:tcPr>
            <w:tcW w:type="dxa" w:w="4464"/>
            <w:vAlign w:val="top"/>
          </w:tcPr>
          <w:p>
            <w:r>
              <w:t>Single countdown timer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AUR-ARCH-006</w:t>
            </w:r>
          </w:p>
        </w:tc>
        <w:tc>
          <w:tcPr>
            <w:tcW w:type="dxa" w:w="3744"/>
            <w:vAlign w:val="top"/>
          </w:tcPr>
          <w:p>
            <w:r>
              <w:t>Software multiplexing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ADR-0016</w:t>
            </w:r>
          </w:p>
        </w:tc>
        <w:tc>
          <w:tcPr>
            <w:tcW w:type="dxa" w:w="4464"/>
            <w:vAlign w:val="top"/>
          </w:tcPr>
          <w:p>
            <w:r>
              <w:t>Compiler-first scheduling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AUR-TOOL-001</w:t>
            </w:r>
          </w:p>
        </w:tc>
        <w:tc>
          <w:tcPr>
            <w:tcW w:type="dxa" w:w="3744"/>
            <w:vAlign w:val="top"/>
          </w:tcPr>
          <w:p>
            <w:r>
              <w:t>Hardware repairs locally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</w:tcPr>
          <w:p>
            <w:r>
              <w:t>ADR-0017</w:t>
            </w:r>
          </w:p>
        </w:tc>
        <w:tc>
          <w:tcPr>
            <w:tcW w:type="dxa" w:w="4464"/>
            <w:vAlign w:val="top"/>
          </w:tcPr>
          <w:p>
            <w:r>
              <w:t>Machine-readable ISA as source of truth</w:t>
            </w:r>
          </w:p>
        </w:tc>
        <w:tc>
          <w:tcPr>
            <w:tcW w:type="dxa" w:w="1440"/>
            <w:vAlign w:val="top"/>
          </w:tcPr>
          <w:p>
            <w:r>
              <w:t>Frozen</w:t>
            </w:r>
          </w:p>
        </w:tc>
        <w:tc>
          <w:tcPr>
            <w:tcW w:type="dxa" w:w="2160"/>
            <w:vAlign w:val="top"/>
          </w:tcPr>
          <w:p>
            <w:r>
              <w:t>AUR-ARCH-004</w:t>
            </w:r>
          </w:p>
        </w:tc>
        <w:tc>
          <w:tcPr>
            <w:tcW w:type="dxa" w:w="3744"/>
            <w:vAlign w:val="top"/>
          </w:tcPr>
          <w:p>
            <w:r>
              <w:t>Generates tools/docs</w:t>
            </w:r>
          </w:p>
        </w:tc>
      </w:tr>
    </w:tbl>
    <w:p>
      <w:r>
        <w:br w:type="page"/>
      </w:r>
    </w:p>
    <w:p>
      <w:pPr>
        <w:pStyle w:val="Heading1"/>
      </w:pPr>
      <w:r>
        <w:t>Standalone Later ADR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1584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4464"/>
            <w:shd w:fill="D9EAF7"/>
            <w:vAlign w:val="center"/>
          </w:tcPr>
          <w:p>
            <w:r>
              <w:rPr>
                <w:b/>
              </w:rPr>
              <w:t>Record title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b/>
              </w:rPr>
              <w:t>Repository file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b/>
              </w:rPr>
              <w:t>Supersession / notes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ADR-2DSTREAM-001</w:t>
            </w:r>
          </w:p>
        </w:tc>
        <w:tc>
          <w:tcPr>
            <w:tcW w:type="dxa" w:w="4464"/>
            <w:vAlign w:val="top"/>
          </w:tcPr>
          <w:p>
            <w:r>
              <w:t>ADR-2DSTREAM-001 — Sticky MODE Instruction and Two-Dimensional Stream Stepping</w:t>
            </w:r>
          </w:p>
        </w:tc>
        <w:tc>
          <w:tcPr>
            <w:tcW w:type="dxa" w:w="1584"/>
            <w:vAlign w:val="top"/>
          </w:tcPr>
          <w:p>
            <w:r>
              <w:t>Locked/Accepted</w:t>
            </w:r>
          </w:p>
        </w:tc>
        <w:tc>
          <w:tcPr>
            <w:tcW w:type="dxa" w:w="3168"/>
            <w:vAlign w:val="top"/>
          </w:tcPr>
          <w:p>
            <w:r>
              <w:t>architecture-records/ADR_2DSTREAM_001_MODE_and_2D_Stream_Stepping.docx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ADR-SYS-002</w:t>
            </w:r>
          </w:p>
        </w:tc>
        <w:tc>
          <w:tcPr>
            <w:tcW w:type="dxa" w:w="4464"/>
            <w:vAlign w:val="top"/>
          </w:tcPr>
          <w:p>
            <w:r>
              <w:t>ADR-SYS-002 — Privilege, Wait/Halt, and Context Transfer Architecture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168"/>
            <w:vAlign w:val="top"/>
          </w:tcPr>
          <w:p>
            <w:r>
              <w:t>architecture-records/ADR-SYS-002_Privilege_Wait_Halt_and_Context_Transfer.docx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ADR-ISA-019</w:t>
            </w:r>
          </w:p>
        </w:tc>
        <w:tc>
          <w:tcPr>
            <w:tcW w:type="dxa" w:w="4464"/>
            <w:vAlign w:val="top"/>
          </w:tcPr>
          <w:p>
            <w:r>
              <w:t>ADR-ISA-019 — Extension Instructions and Stream/Stack Bounds Faults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168"/>
            <w:vAlign w:val="top"/>
          </w:tcPr>
          <w:p>
            <w:r>
              <w:t>architecture-records/ADR-ISA-019_Extension_and_Bounds_Faults.docx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ADR-ISA-020</w:t>
            </w:r>
          </w:p>
        </w:tc>
        <w:tc>
          <w:tcPr>
            <w:tcW w:type="dxa" w:w="4464"/>
            <w:vAlign w:val="top"/>
          </w:tcPr>
          <w:p>
            <w:r>
              <w:t>ADR-ISA-020 — NOP-Terminated Hardware Loop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168"/>
            <w:vAlign w:val="top"/>
          </w:tcPr>
          <w:p>
            <w:r>
              <w:t>architecture-records/ADR-ISA-020_NOP_Terminated_Hardware_Loop.docx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ADR-STREAM-006</w:t>
            </w:r>
          </w:p>
        </w:tc>
        <w:tc>
          <w:tcPr>
            <w:tcW w:type="dxa" w:w="4464"/>
            <w:vAlign w:val="top"/>
          </w:tcPr>
          <w:p>
            <w:r>
              <w:t>ADR-STREAM-006 — Pinned Circular Stream Mode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168"/>
            <w:vAlign w:val="top"/>
          </w:tcPr>
          <w:p>
            <w:r>
              <w:t>architecture-records/ADR-STREAM-006_Pinned_Circular_Stream_Mode.docx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ADR-DSP-011</w:t>
            </w:r>
          </w:p>
        </w:tc>
        <w:tc>
          <w:tcPr>
            <w:tcW w:type="dxa" w:w="4464"/>
            <w:vAlign w:val="top"/>
          </w:tcPr>
          <w:p>
            <w:r>
              <w:t>ADR-DSP-011 — Complex Multiply Mode and Widened Result Layout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168"/>
            <w:vAlign w:val="top"/>
          </w:tcPr>
          <w:p>
            <w:r>
              <w:t>architecture-records/ADR-DSP-011_Complex_Multiply_Mode_and_Widened_Layout.docx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ADR-DSP-012</w:t>
            </w:r>
          </w:p>
        </w:tc>
        <w:tc>
          <w:tcPr>
            <w:tcW w:type="dxa" w:w="4464"/>
            <w:vAlign w:val="top"/>
          </w:tcPr>
          <w:p>
            <w:r>
              <w:t>ADR-DSP-012 — COMPLEX16 Result Width and Overflow Handling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168"/>
            <w:vAlign w:val="top"/>
          </w:tcPr>
          <w:p>
            <w:r>
              <w:t>architecture-records/ADR-DSP-012_COMPLEX16_Result_Width_and_Overflow.docx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ADR-DSP-013</w:t>
            </w:r>
          </w:p>
        </w:tc>
        <w:tc>
          <w:tcPr>
            <w:tcW w:type="dxa" w:w="4464"/>
            <w:vAlign w:val="top"/>
          </w:tcPr>
          <w:p>
            <w:r>
              <w:t>ADR-DSP-013 — Multiply Width and Interpretation Mode Bits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168"/>
            <w:vAlign w:val="top"/>
          </w:tcPr>
          <w:p>
            <w:r>
              <w:t>architecture-records/ADR-DSP-013_Multiply_Width_and_Interpretation_Mode_Bits.docx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ADR-DSP-014</w:t>
            </w:r>
          </w:p>
        </w:tc>
        <w:tc>
          <w:tcPr>
            <w:tcW w:type="dxa" w:w="4464"/>
            <w:vAlign w:val="top"/>
          </w:tcPr>
          <w:p>
            <w:r>
              <w:t>ADR-DSP-014 — Rounding and Saturation Mode Bits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168"/>
            <w:vAlign w:val="top"/>
          </w:tcPr>
          <w:p>
            <w:r>
              <w:t>architecture-records/ADR-DSP-014_Rounding_and_Saturation_Mode_Bits.docx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ADR-DSP-015</w:t>
            </w:r>
          </w:p>
        </w:tc>
        <w:tc>
          <w:tcPr>
            <w:tcW w:type="dxa" w:w="4464"/>
            <w:vAlign w:val="top"/>
          </w:tcPr>
          <w:p>
            <w:r>
              <w:t>ADR-DSP-015 — COMPLEX8 Packed Multiply Mode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168"/>
            <w:vAlign w:val="top"/>
          </w:tcPr>
          <w:p>
            <w:r>
              <w:t>architecture-records/ADR-DSP-015_COMPLEX8_Packed_Multiply_Mode.docx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ADR-DSP-016</w:t>
            </w:r>
          </w:p>
        </w:tc>
        <w:tc>
          <w:tcPr>
            <w:tcW w:type="dxa" w:w="4464"/>
            <w:vAlign w:val="top"/>
          </w:tcPr>
          <w:p>
            <w:r>
              <w:t>ADR-DSP-016 — Unary Complex Conjugate Instruction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168"/>
            <w:vAlign w:val="top"/>
          </w:tcPr>
          <w:p>
            <w:r>
              <w:t>architecture-records/ADR-DSP-016_Unary_Complex_Conjugate_Instruction.docx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ADR-MEM-009</w:t>
            </w:r>
          </w:p>
        </w:tc>
        <w:tc>
          <w:tcPr>
            <w:tcW w:type="dxa" w:w="4464"/>
            <w:vAlign w:val="top"/>
          </w:tcPr>
          <w:p>
            <w:r>
              <w:t>ADR-MEM-009 — Required Near-Memory DMA and Reduction/Stream Separation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168"/>
            <w:vAlign w:val="top"/>
          </w:tcPr>
          <w:p>
            <w:r>
              <w:t>architecture-records/ADR-MEM-009_Required_Near_Memory_DMA_and_Separation.docx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ADR-ISA-021</w:t>
            </w:r>
          </w:p>
        </w:tc>
        <w:tc>
          <w:tcPr>
            <w:tcW w:type="dxa" w:w="4464"/>
            <w:vAlign w:val="top"/>
          </w:tcPr>
          <w:p>
            <w:r>
              <w:t>ADR-ISA-021 — Contextual ZR, Unified Compare, and Packed Predicate Flags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168"/>
            <w:vAlign w:val="top"/>
          </w:tcPr>
          <w:p>
            <w:r>
              <w:t>architecture-records/ADR-ISA-021_Contextual_ZR_Unified_Compare_and_Predicates.docx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ADR-STREAM-007</w:t>
            </w:r>
          </w:p>
        </w:tc>
        <w:tc>
          <w:tcPr>
            <w:tcW w:type="dxa" w:w="4464"/>
            <w:vAlign w:val="top"/>
          </w:tcPr>
          <w:p>
            <w:r>
              <w:t>ADR-STREAM-007 — Explicit Stream Access and Side-Effect-Free Moves</w:t>
            </w:r>
          </w:p>
        </w:tc>
        <w:tc>
          <w:tcPr>
            <w:tcW w:type="dxa" w:w="1584"/>
            <w:vAlign w:val="top"/>
          </w:tcPr>
          <w:p>
            <w:r>
              <w:t>Partially superseded</w:t>
            </w:r>
          </w:p>
        </w:tc>
        <w:tc>
          <w:tcPr>
            <w:tcW w:type="dxa" w:w="3168"/>
            <w:vAlign w:val="top"/>
          </w:tcPr>
          <w:p>
            <w:r>
              <w:t>architecture-records/ADR-STREAM-007_Explicit_Stream_Access_and_Pure_Moves.docx</w:t>
            </w:r>
          </w:p>
        </w:tc>
        <w:tc>
          <w:tcPr>
            <w:tcW w:type="dxa" w:w="3168"/>
            <w:vAlign w:val="top"/>
          </w:tcPr>
          <w:p>
            <w:r>
              <w:t>Pure MOV/CMOV rule retained; stream-access exclusivity superseded by ADR-STREAM-008.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ADR-STREAM-008</w:t>
            </w:r>
          </w:p>
        </w:tc>
        <w:tc>
          <w:tcPr>
            <w:tcW w:type="dxa" w:w="4464"/>
            <w:vAlign w:val="top"/>
          </w:tcPr>
          <w:p>
            <w:r>
              <w:t>ADR-STREAM-008 — Implicit Stream Access for Stream-Capable Computation</w:t>
            </w:r>
          </w:p>
        </w:tc>
        <w:tc>
          <w:tcPr>
            <w:tcW w:type="dxa" w:w="1584"/>
            <w:vAlign w:val="top"/>
          </w:tcPr>
          <w:p>
            <w:r>
              <w:t>LOCKED — SUPERSEDES CONFLICTING PORTIONS OF ADR-STREAM-007</w:t>
            </w:r>
          </w:p>
        </w:tc>
        <w:tc>
          <w:tcPr>
            <w:tcW w:type="dxa" w:w="3168"/>
            <w:vAlign w:val="top"/>
          </w:tcPr>
          <w:p>
            <w:r>
              <w:t>architecture-records/ADR-STREAM-008_Implicit_Stream_Access_for_Computation.docx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  <w:tr>
        <w:trPr>
          <w:cantSplit w:val="true"/>
        </w:trPr>
        <w:tc>
          <w:tcPr>
            <w:tcW w:type="dxa" w:w="1584"/>
            <w:vAlign w:val="top"/>
          </w:tcPr>
          <w:p>
            <w:r>
              <w:t>ADR-FE-006</w:t>
            </w:r>
          </w:p>
        </w:tc>
        <w:tc>
          <w:tcPr>
            <w:tcW w:type="dxa" w:w="4464"/>
            <w:vAlign w:val="top"/>
          </w:tcPr>
          <w:p>
            <w:r>
              <w:t>ADR-FE-006 — Two-Entry Prefetch Buffer and Eight-Word Hardware Loop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3168"/>
            <w:vAlign w:val="top"/>
          </w:tcPr>
          <w:p>
            <w:r>
              <w:t>architecture-records/ADR-FE-006_Two_Entry_Prefetch_and_Eight_Word_Loop.docx</w:t>
            </w:r>
          </w:p>
        </w:tc>
        <w:tc>
          <w:tcPr>
            <w:tcW w:type="dxa" w:w="3168"/>
            <w:vAlign w:val="top"/>
          </w:tcPr>
          <w:p>
            <w:r>
              <w:t>Standalone record preserved in decision-logs/architecture-records.</w:t>
            </w:r>
          </w:p>
        </w:tc>
      </w:tr>
    </w:tbl>
    <w:p>
      <w:r>
        <w:br w:type="page"/>
      </w:r>
    </w:p>
    <w:p>
      <w:pPr>
        <w:pStyle w:val="Heading1"/>
      </w:pPr>
      <w:r>
        <w:t>Late-Session Decisions Pending Formal ADR Numbering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1872"/>
            <w:shd w:fill="D9EAF7"/>
            <w:vAlign w:val="center"/>
          </w:tcPr>
          <w:p>
            <w:r>
              <w:rPr>
                <w:b/>
              </w:rPr>
              <w:t>Provisional ID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600"/>
            <w:shd w:fill="D9EAF7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</w:tcPr>
          <w:p>
            <w:r>
              <w:t>LATE-STREAM-POPMETA</w:t>
            </w:r>
          </w:p>
        </w:tc>
        <w:tc>
          <w:tcPr>
            <w:tcW w:type="dxa" w:w="4320"/>
            <w:vAlign w:val="top"/>
          </w:tcPr>
          <w:p>
            <w:r>
              <w:t>POPMETA aligned-pair stream consume with value + ORD/ADDR metadata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2592"/>
            <w:vAlign w:val="top"/>
          </w:tcPr>
          <w:p>
            <w:r>
              <w:t>RECENT_DECISIONS_SNAPSHOT.md</w:t>
            </w:r>
          </w:p>
        </w:tc>
        <w:tc>
          <w:tcPr>
            <w:tcW w:type="dxa" w:w="3600"/>
            <w:vAlign w:val="top"/>
          </w:tcPr>
          <w:p>
            <w:r>
              <w:t>Register-pair destination; atomic data+metadata; exact final encoding still to be reconciled with opcode table.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</w:tcPr>
          <w:p>
            <w:r>
              <w:t>LATE-DSP-TRACK</w:t>
            </w:r>
          </w:p>
        </w:tc>
        <w:tc>
          <w:tcPr>
            <w:tcW w:type="dxa" w:w="4320"/>
            <w:vAlign w:val="top"/>
          </w:tcPr>
          <w:p>
            <w:r>
              <w:t>Fused TRACKMIN/TRACKMAX compare-and-track pair operation</w:t>
            </w:r>
          </w:p>
        </w:tc>
        <w:tc>
          <w:tcPr>
            <w:tcW w:type="dxa" w:w="1584"/>
            <w:vAlign w:val="top"/>
          </w:tcPr>
          <w:p>
            <w:r>
              <w:t>Reserved / benchmark</w:t>
            </w:r>
          </w:p>
        </w:tc>
        <w:tc>
          <w:tcPr>
            <w:tcW w:type="dxa" w:w="2592"/>
            <w:vAlign w:val="top"/>
          </w:tcPr>
          <w:p>
            <w:r>
              <w:t>RECENT_DECISIONS_SNAPSHOT.md</w:t>
            </w:r>
          </w:p>
        </w:tc>
        <w:tc>
          <w:tcPr>
            <w:tcW w:type="dxa" w:w="3600"/>
            <w:vAlign w:val="top"/>
          </w:tcPr>
          <w:p>
            <w:r>
              <w:t>Not baseline; compare against POPMETA + CMP + two CMOVs.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</w:tcPr>
          <w:p>
            <w:r>
              <w:t>LATE-FE-REPLAY</w:t>
            </w:r>
          </w:p>
        </w:tc>
        <w:tc>
          <w:tcPr>
            <w:tcW w:type="dxa" w:w="4320"/>
            <w:vAlign w:val="top"/>
          </w:tcPr>
          <w:p>
            <w:r>
              <w:t>Resident replay for short backward-relative branches in the eight-word front-end window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2592"/>
            <w:vAlign w:val="top"/>
          </w:tcPr>
          <w:p>
            <w:r>
              <w:t>RECENT_DECISIONS_SNAPSHOT.md</w:t>
            </w:r>
          </w:p>
        </w:tc>
        <w:tc>
          <w:tcPr>
            <w:tcW w:type="dxa" w:w="3600"/>
            <w:vAlign w:val="top"/>
          </w:tcPr>
          <w:p>
            <w:r>
              <w:t>Target derived from relative offset; no refetch on hit.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</w:tcPr>
          <w:p>
            <w:r>
              <w:t>LATE-FE-SINGLEENTRY</w:t>
            </w:r>
          </w:p>
        </w:tc>
        <w:tc>
          <w:tcPr>
            <w:tcW w:type="dxa" w:w="4320"/>
            <w:vAlign w:val="top"/>
          </w:tcPr>
          <w:p>
            <w:r>
              <w:t>Compiler-enforced single-entry rule for resident-replay regions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2592"/>
            <w:vAlign w:val="top"/>
          </w:tcPr>
          <w:p>
            <w:r>
              <w:t>RECENT_DECISIONS_SNAPSHOT.md</w:t>
            </w:r>
          </w:p>
        </w:tc>
        <w:tc>
          <w:tcPr>
            <w:tcW w:type="dxa" w:w="3600"/>
            <w:vAlign w:val="top"/>
          </w:tcPr>
          <w:p>
            <w:r>
              <w:t>Hardware does not detect or enforce interior entry.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</w:tcPr>
          <w:p>
            <w:r>
              <w:t>LATE-FE-LOOPROLE</w:t>
            </w:r>
          </w:p>
        </w:tc>
        <w:tc>
          <w:tcPr>
            <w:tcW w:type="dxa" w:w="4320"/>
            <w:vAlign w:val="top"/>
          </w:tcPr>
          <w:p>
            <w:r>
              <w:t>Explicit hardware loops retained alongside resident replay</w:t>
            </w:r>
          </w:p>
        </w:tc>
        <w:tc>
          <w:tcPr>
            <w:tcW w:type="dxa" w:w="1584"/>
            <w:vAlign w:val="top"/>
          </w:tcPr>
          <w:p>
            <w:r>
              <w:t>Locked</w:t>
            </w:r>
          </w:p>
        </w:tc>
        <w:tc>
          <w:tcPr>
            <w:tcW w:type="dxa" w:w="2592"/>
            <w:vAlign w:val="top"/>
          </w:tcPr>
          <w:p>
            <w:r>
              <w:t>RECENT_DECISIONS_SNAPSHOT.md</w:t>
            </w:r>
          </w:p>
        </w:tc>
        <w:tc>
          <w:tcPr>
            <w:tcW w:type="dxa" w:w="3600"/>
            <w:vAlign w:val="top"/>
          </w:tcPr>
          <w:p>
            <w:r>
              <w:t>Hardware loop removes decrement/test/branch and final-exit misprediction.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</w:tcPr>
          <w:p>
            <w:r>
              <w:t>LATE-SCHED-001</w:t>
            </w:r>
          </w:p>
        </w:tc>
        <w:tc>
          <w:tcPr>
            <w:tcW w:type="dxa" w:w="4320"/>
            <w:vAlign w:val="top"/>
          </w:tcPr>
          <w:p>
            <w:r>
              <w:t>Priority-first EDF scheduler with optional latest-safe-start ordering</w:t>
            </w:r>
          </w:p>
        </w:tc>
        <w:tc>
          <w:tcPr>
            <w:tcW w:type="dxa" w:w="1584"/>
            <w:vAlign w:val="top"/>
          </w:tcPr>
          <w:p>
            <w:r>
              <w:t>Design locked</w:t>
            </w:r>
          </w:p>
        </w:tc>
        <w:tc>
          <w:tcPr>
            <w:tcW w:type="dxa" w:w="2592"/>
            <w:vAlign w:val="top"/>
          </w:tcPr>
          <w:p>
            <w:r>
              <w:t>scheduler/README.md</w:t>
            </w:r>
          </w:p>
        </w:tc>
        <w:tc>
          <w:tcPr>
            <w:tcW w:type="dxa" w:w="3600"/>
            <w:vAlign w:val="top"/>
          </w:tcPr>
          <w:p>
            <w:r>
              <w:t>Higher priority first; within priority EDF or finish-deadline minus estimated remaining execution.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</w:tcPr>
          <w:p>
            <w:r>
              <w:t>LATE-SCHED-002</w:t>
            </w:r>
          </w:p>
        </w:tc>
        <w:tc>
          <w:tcPr>
            <w:tcW w:type="dxa" w:w="4320"/>
            <w:vAlign w:val="top"/>
          </w:tcPr>
          <w:p>
            <w:r>
              <w:t>Dependency urgency inheritance and mandatory latest-safe-start preemption</w:t>
            </w:r>
          </w:p>
        </w:tc>
        <w:tc>
          <w:tcPr>
            <w:tcW w:type="dxa" w:w="1584"/>
            <w:vAlign w:val="top"/>
          </w:tcPr>
          <w:p>
            <w:r>
              <w:t>Design locked</w:t>
            </w:r>
          </w:p>
        </w:tc>
        <w:tc>
          <w:tcPr>
            <w:tcW w:type="dxa" w:w="2592"/>
            <w:vAlign w:val="top"/>
          </w:tcPr>
          <w:p>
            <w:r>
              <w:t>scheduler/README.md</w:t>
            </w:r>
          </w:p>
        </w:tc>
        <w:tc>
          <w:tcPr>
            <w:tcW w:type="dxa" w:w="3600"/>
            <w:vAlign w:val="top"/>
          </w:tcPr>
          <w:p>
            <w:r>
              <w:t>Inherit highest blocked priority, then earliest urgency at that priority.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</w:tcPr>
          <w:p>
            <w:r>
              <w:t>LATE-RED-COUNT</w:t>
            </w:r>
          </w:p>
        </w:tc>
        <w:tc>
          <w:tcPr>
            <w:tcW w:type="dxa" w:w="4320"/>
            <w:vAlign w:val="top"/>
          </w:tcPr>
          <w:p>
            <w:r>
              <w:t>Comparison-count reduction</w:t>
            </w:r>
          </w:p>
        </w:tc>
        <w:tc>
          <w:tcPr>
            <w:tcW w:type="dxa" w:w="1584"/>
            <w:vAlign w:val="top"/>
          </w:tcPr>
          <w:p>
            <w:r>
              <w:t>Not locked</w:t>
            </w:r>
          </w:p>
        </w:tc>
        <w:tc>
          <w:tcPr>
            <w:tcW w:type="dxa" w:w="2592"/>
            <w:vAlign w:val="top"/>
          </w:tcPr>
          <w:p>
            <w:r>
              <w:t>RECENT_DECISIONS_SNAPSHOT.md</w:t>
            </w:r>
          </w:p>
        </w:tc>
        <w:tc>
          <w:tcPr>
            <w:tcW w:type="dxa" w:w="3600"/>
            <w:vAlign w:val="top"/>
          </w:tcPr>
          <w:p>
            <w:r>
              <w:t>Explicitly retained only as a candidate.</w:t>
            </w:r>
          </w:p>
        </w:tc>
      </w:tr>
    </w:tbl>
    <w:p>
      <w:r>
        <w:t>Governance note: provisional entries are preserved as decisions but should receive permanent ADR identifiers in the next reconciliation pass.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