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ADR-STREAM-007 — Explicit Stream Access and Side-Effect-Free Moves</w:t>
      </w:r>
    </w:p>
    <w:p>
      <w:r>
        <w:t>Status: LOCKED</w:t>
        <w:br/>
        <w:t>Architecture baseline: Aurora v1.2q</w:t>
        <w:br/>
        <w:t>Date: August 3, 2026</w:t>
      </w:r>
    </w:p>
    <w:p>
      <w:pPr>
        <w:pStyle w:val="Heading1"/>
      </w:pPr>
      <w:r>
        <w:t>Locked Decisions</w:t>
      </w:r>
    </w:p>
    <w:p>
      <w:pPr>
        <w:pStyle w:val="ListBullet"/>
      </w:pPr>
      <w:r>
        <w:t>Q0 and Q1 are stream-engine entities and are not ordinary GPR source or destination operands.</w:t>
      </w:r>
    </w:p>
    <w:p>
      <w:pPr>
        <w:pStyle w:val="ListBullet"/>
      </w:pPr>
      <w:r>
        <w:t>All stream data transfer is explicit through POP, PUSH, and PEEK instructions.</w:t>
      </w:r>
    </w:p>
    <w:p>
      <w:pPr>
        <w:pStyle w:val="ListBullet"/>
      </w:pPr>
      <w:r>
        <w:t>POP Rd, Qn consumes exactly one stream element and advances stream address, count, ordinal, and staging state only after successful completion.</w:t>
      </w:r>
    </w:p>
    <w:p>
      <w:pPr>
        <w:pStyle w:val="ListBullet"/>
      </w:pPr>
      <w:r>
        <w:t>PEEK Rd, Qn reads the current staged element without consuming it and without changing address, count, ordinal, phase, or staging pointers.</w:t>
      </w:r>
    </w:p>
    <w:p>
      <w:pPr>
        <w:pStyle w:val="ListBullet"/>
      </w:pPr>
      <w:r>
        <w:t>PUSH Qn, Rs produces exactly one stream element and advances stream state only after successful completion.</w:t>
      </w:r>
    </w:p>
    <w:p>
      <w:pPr>
        <w:pStyle w:val="ListBullet"/>
      </w:pPr>
      <w:r>
        <w:t>MOV is strictly a GPR-to-GPR operation. MOV may not read from or write to Q0/Q1 and may not access stream system state.</w:t>
      </w:r>
    </w:p>
    <w:p>
      <w:pPr>
        <w:pStyle w:val="ListBullet"/>
      </w:pPr>
      <w:r>
        <w:t>CMOV is strictly a GPR-to-GPR conditional copy. Its only conditional architectural effect is whether its GPR destination is replaced.</w:t>
      </w:r>
    </w:p>
    <w:p>
      <w:pPr>
        <w:pStyle w:val="ListBullet"/>
      </w:pPr>
      <w:r>
        <w:t>CMOV may not POP, PUSH, PEEK, access memory, access MMIO, read or write stream system registers, update stream addresses, or modify stream counts or ordinals.</w:t>
      </w:r>
    </w:p>
    <w:p>
      <w:pPr>
        <w:pStyle w:val="ListBullet"/>
      </w:pPr>
      <w:r>
        <w:t>The true and false paths of CMOV therefore have identical memory, stream, address-generation, and exception side effects.</w:t>
      </w:r>
    </w:p>
    <w:p>
      <w:pPr>
        <w:pStyle w:val="ListBullet"/>
      </w:pPr>
      <w:r>
        <w:t>In packed mode, CMOV remains lane-wise under the current predicate flags, but it still operates only on GPR lanes already read into the execution pipeline.</w:t>
      </w:r>
    </w:p>
    <w:p>
      <w:pPr>
        <w:pStyle w:val="ListBullet"/>
      </w:pPr>
      <w:r>
        <w:t>Conditional execution must never determine whether a stream advances. Stream progression is controlled only by explicit POP/PUSH operations that retire successfully.</w:t>
      </w:r>
    </w:p>
    <w:p>
      <w:pPr>
        <w:pStyle w:val="ListBullet"/>
      </w:pPr>
      <w:r>
        <w:t>Stream configuration and stream position metadata are architectural system-register state, accessed through the existing low-operand-count system-register transfer instructions.</w:t>
      </w:r>
    </w:p>
    <w:p>
      <w:pPr>
        <w:pStyle w:val="ListBullet"/>
      </w:pPr>
      <w:r>
        <w:t>Each stream exposes ADDR_NEXT, ADDR_LAST, ORD_NEXT, and ORD_LAST system registers.</w:t>
      </w:r>
    </w:p>
    <w:p>
      <w:pPr>
        <w:pStyle w:val="ListBullet"/>
      </w:pPr>
      <w:r>
        <w:t>ORD_NEXT and ORD_LAST are zero-based linear logical-element ordinals. They advance only on successful consuming or producing operations as defined by stream direction.</w:t>
      </w:r>
    </w:p>
    <w:p>
      <w:pPr>
        <w:pStyle w:val="ListBullet"/>
      </w:pPr>
      <w:r>
        <w:t>For packed stream transfers, ORD_LAST identifies the first scalar lane in the transferred packed group; a scalar lane ordinal is ORD_LAST plus its lane number.</w:t>
      </w:r>
    </w:p>
    <w:p>
      <w:pPr>
        <w:pStyle w:val="ListBullet"/>
      </w:pPr>
      <w:r>
        <w:t>Stalls, PEEK operations, faults, flushed instructions, interrupts before retirement, and debug halt do not advance stream address or ordinal state.</w:t>
      </w:r>
    </w:p>
    <w:p>
      <w:pPr>
        <w:pStyle w:val="ListBullet"/>
      </w:pPr>
      <w:r>
        <w:t>A combined POP-with-metadata instruction is not part of the v1.2q baseline. It remains a future encoding candidate if benchmarks show that a separate POP plus system-register read prevents important kernels from fitting the four-instruction hardware-loop buffer.</w:t>
      </w:r>
    </w:p>
    <w:p>
      <w:pPr>
        <w:pStyle w:val="ListBullet"/>
      </w:pPr>
      <w:r>
        <w:t>R13 remains an optional link register rather than a permanently reserved register. The compiler may allocate R13 as a GPR in leaf functions or whenever the return address is saved or dead.</w:t>
      </w:r>
    </w:p>
    <w:p>
      <w:pPr>
        <w:pStyle w:val="Heading1"/>
      </w:pPr>
      <w:r>
        <w:t>Canonical Stream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Data movement</w:t>
            </w:r>
          </w:p>
        </w:tc>
        <w:tc>
          <w:tcPr>
            <w:tcW w:type="dxa" w:w="2160"/>
          </w:tcPr>
          <w:p>
            <w:r>
              <w:t>Advances stream?</w:t>
            </w:r>
          </w:p>
        </w:tc>
        <w:tc>
          <w:tcPr>
            <w:tcW w:type="dxa" w:w="2160"/>
          </w:tcPr>
          <w:p>
            <w:r>
              <w:t>Permitted side effects</w:t>
            </w:r>
          </w:p>
        </w:tc>
      </w:tr>
      <w:tr>
        <w:tc>
          <w:tcPr>
            <w:tcW w:type="dxa" w:w="2160"/>
          </w:tcPr>
          <w:p>
            <w:r>
              <w:t>POP Rd, Qn</w:t>
            </w:r>
          </w:p>
        </w:tc>
        <w:tc>
          <w:tcPr>
            <w:tcW w:type="dxa" w:w="2160"/>
          </w:tcPr>
          <w:p>
            <w:r>
              <w:t>Stream to GPR</w:t>
            </w:r>
          </w:p>
        </w:tc>
        <w:tc>
          <w:tcPr>
            <w:tcW w:type="dxa" w:w="2160"/>
          </w:tcPr>
          <w:p>
            <w:r>
              <w:t>Yes, after successful retirement</w:t>
            </w:r>
          </w:p>
        </w:tc>
        <w:tc>
          <w:tcPr>
            <w:tcW w:type="dxa" w:w="2160"/>
          </w:tcPr>
          <w:p>
            <w:r>
              <w:t>Consume, address/count/ordinal update</w:t>
            </w:r>
          </w:p>
        </w:tc>
      </w:tr>
      <w:tr>
        <w:tc>
          <w:tcPr>
            <w:tcW w:type="dxa" w:w="2160"/>
          </w:tcPr>
          <w:p>
            <w:r>
              <w:t>PEEK Rd, Qn</w:t>
            </w:r>
          </w:p>
        </w:tc>
        <w:tc>
          <w:tcPr>
            <w:tcW w:type="dxa" w:w="2160"/>
          </w:tcPr>
          <w:p>
            <w:r>
              <w:t>Stream to GPR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GPR write only</w:t>
            </w:r>
          </w:p>
        </w:tc>
      </w:tr>
      <w:tr>
        <w:tc>
          <w:tcPr>
            <w:tcW w:type="dxa" w:w="2160"/>
          </w:tcPr>
          <w:p>
            <w:r>
              <w:t>PUSH Qn, Rs</w:t>
            </w:r>
          </w:p>
        </w:tc>
        <w:tc>
          <w:tcPr>
            <w:tcW w:type="dxa" w:w="2160"/>
          </w:tcPr>
          <w:p>
            <w:r>
              <w:t>GPR to stream</w:t>
            </w:r>
          </w:p>
        </w:tc>
        <w:tc>
          <w:tcPr>
            <w:tcW w:type="dxa" w:w="2160"/>
          </w:tcPr>
          <w:p>
            <w:r>
              <w:t>Yes, after successful retirement</w:t>
            </w:r>
          </w:p>
        </w:tc>
        <w:tc>
          <w:tcPr>
            <w:tcW w:type="dxa" w:w="2160"/>
          </w:tcPr>
          <w:p>
            <w:r>
              <w:t>Produce, address/count/ordinal update</w:t>
            </w:r>
          </w:p>
        </w:tc>
      </w:tr>
      <w:tr>
        <w:tc>
          <w:tcPr>
            <w:tcW w:type="dxa" w:w="2160"/>
          </w:tcPr>
          <w:p>
            <w:r>
              <w:t>MOV Rd, Rs</w:t>
            </w:r>
          </w:p>
        </w:tc>
        <w:tc>
          <w:tcPr>
            <w:tcW w:type="dxa" w:w="2160"/>
          </w:tcPr>
          <w:p>
            <w:r>
              <w:t>GPR to GPR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GPR write only</w:t>
            </w:r>
          </w:p>
        </w:tc>
      </w:tr>
      <w:tr>
        <w:tc>
          <w:tcPr>
            <w:tcW w:type="dxa" w:w="2160"/>
          </w:tcPr>
          <w:p>
            <w:r>
              <w:t>CMOV.cond Rd, Rs</w:t>
            </w:r>
          </w:p>
        </w:tc>
        <w:tc>
          <w:tcPr>
            <w:tcW w:type="dxa" w:w="2160"/>
          </w:tcPr>
          <w:p>
            <w:r>
              <w:t>Conditional GPR to GPR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Conditional GPR write only</w:t>
            </w:r>
          </w:p>
        </w:tc>
      </w:tr>
    </w:tbl>
    <w:p>
      <w:pPr>
        <w:pStyle w:val="Heading1"/>
      </w:pPr>
      <w:r>
        <w:t>Rationale</w:t>
      </w:r>
    </w:p>
    <w:p>
      <w:r>
        <w:t>Explicit stream operations make every address-changing action visible in assembly and deterministic under stalls, predication, faults, interrupts, and debugging. Keeping MOV and CMOV pure prevents a condition result from changing which stream elements later instructions observe. Metadata remains system state rather than being disguised as GPR operands.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