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DDR-0047 — Document MODE and Two-Dimensional Stream Configuration</w:t>
      </w:r>
    </w:p>
    <w:p>
      <w:pPr>
        <w:pStyle w:val="Heading1"/>
      </w:pPr>
      <w:r>
        <w:t>Status</w:t>
      </w:r>
    </w:p>
    <w:p>
      <w:r>
        <w:t>Accepted.</w:t>
      </w:r>
    </w:p>
    <w:p>
      <w:pPr>
        <w:pStyle w:val="Heading1"/>
      </w:pPr>
      <w:r>
        <w:t>Decision</w:t>
      </w:r>
    </w:p>
    <w:p>
      <w:r>
        <w:t>The Instruction Reference, ISA database, Programmer Guide, stream RTL specification, Hardware Block Catalog, and Quick Reference must explicitly document MODE and the two-dimensional stream fields. QCFG field aliases must appear in assembly-facing documents, while QCFG remains the canonical hardware encoding.</w:t>
      </w:r>
    </w:p>
    <w:p>
      <w:pPr>
        <w:pStyle w:val="Heading1"/>
      </w:pPr>
      <w:r>
        <w:t>Affected canonical documents</w:t>
      </w:r>
    </w:p>
    <w:p>
      <w:pPr>
        <w:pStyle w:val="ListBullet"/>
      </w:pPr>
      <w:r>
        <w:t>AUR-ARCH-005 Instruction Reference</w:t>
      </w:r>
    </w:p>
    <w:p>
      <w:pPr>
        <w:pStyle w:val="ListBullet"/>
      </w:pPr>
      <w:r>
        <w:t>AUR-ARCH-006 Assembly Language Programmer Guide</w:t>
      </w:r>
    </w:p>
    <w:p>
      <w:pPr>
        <w:pStyle w:val="ListBullet"/>
      </w:pPr>
      <w:r>
        <w:t>AUR-ARCH-007 Microarchitecture</w:t>
      </w:r>
    </w:p>
    <w:p>
      <w:pPr>
        <w:pStyle w:val="ListBullet"/>
      </w:pPr>
      <w:r>
        <w:t>AUR-RTL-002H Stream Engines</w:t>
      </w:r>
    </w:p>
    <w:p>
      <w:pPr>
        <w:pStyle w:val="ListBullet"/>
      </w:pPr>
      <w:r>
        <w:t>AUR-HW-012 Hardware Block Catalog</w:t>
      </w:r>
    </w:p>
    <w:p>
      <w:pPr>
        <w:pStyle w:val="ListBullet"/>
      </w:pPr>
      <w:r>
        <w:t>AUR-REF-001 Quick Reference Card</w:t>
      </w:r>
    </w:p>
    <w:p>
      <w:pPr>
        <w:pStyle w:val="ListBullet"/>
      </w:pPr>
      <w:r>
        <w:t>Machine-readable ISA 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