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DDR-0050 — Hardware Loop Documentation and Terminology</w:t>
      </w:r>
    </w:p>
    <w:p>
      <w:r>
        <w:t>Status: LOCKED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All canonical documents shall use LOOP and NOP, not LOOPSET, LOOPEND, or NOP.LEND.</w:t>
      </w:r>
    </w:p>
    <w:p>
      <w:pPr>
        <w:pStyle w:val="ListBullet"/>
      </w:pPr>
      <w:r>
        <w:t>Instruction Reference entries shall include bytecodes, count-minus-one encoding, legal body rules, LOOP_FORMAT faults, interrupt resumption, and context-transfer behavior.</w:t>
      </w:r>
    </w:p>
    <w:p>
      <w:pPr>
        <w:pStyle w:val="ListBullet"/>
      </w:pPr>
      <w:r>
        <w:t>The Assembly Programmer's Guide shall show one-instruction and short multi-instruction examples.</w:t>
      </w:r>
    </w:p>
    <w:p>
      <w:pPr>
        <w:pStyle w:val="ListBullet"/>
      </w:pPr>
      <w:r>
        <w:t>The pipeline and front-end documents shall identify a four-entry loop buffer or equivalent reuse of the prefetch/decode storage.</w:t>
      </w:r>
    </w:p>
    <w:p>
      <w:pPr>
        <w:pStyle w:val="ListBullet"/>
      </w:pPr>
      <w:r>
        <w:t>The machine-readable ISA table shall rename opcode keys 0xC0 and 0xC1 accordingly.</w:t>
      </w:r>
    </w:p>
    <w:p>
      <w:pPr>
        <w:pStyle w:val="ListBullet"/>
      </w:pPr>
      <w:r>
        <w:t>The Master Documentation Index shall identify AUR-ARCH-005 v1.2g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