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DDR-0052 — Complex Multiply Mode Documentation</w:t>
      </w:r>
    </w:p>
    <w:p>
      <w:r>
        <w:t>Status: LOCKED</w:t>
        <w:br/>
        <w:t>Date: August 2, 2026</w:t>
      </w:r>
    </w:p>
    <w:p>
      <w:pPr>
        <w:pStyle w:val="ListBullet"/>
      </w:pPr>
      <w:r>
        <w:t>AUR-ARCH-005 shall document COMPLEX16 MODE semantics, packed source layout, exact 33-bit component equations, four-register destination layout, conjugation modifiers, timing, and scoreboard behavior.</w:t>
      </w:r>
    </w:p>
    <w:p>
      <w:pPr>
        <w:pStyle w:val="ListBullet"/>
      </w:pPr>
      <w:r>
        <w:t>AUR-ARCH-006 shall include complex multiply, complex MAC, conjugate dot-product, and FFT-oriented examples.</w:t>
      </w:r>
    </w:p>
    <w:p>
      <w:pPr>
        <w:pStyle w:val="ListBullet"/>
      </w:pPr>
      <w:r>
        <w:t>The multiply/reduction hardware specification shall document cross-product routing and sign injection into the shared compressor tree.</w:t>
      </w:r>
    </w:p>
    <w:p>
      <w:pPr>
        <w:pStyle w:val="ListBullet"/>
      </w:pPr>
      <w:r>
        <w:t>The ABI/compiler documentation shall require an aligned four-register destination group for widened COMPLEX16 MUL results.</w:t>
      </w:r>
    </w:p>
    <w:p>
      <w:pPr>
        <w:pStyle w:val="ListBullet"/>
      </w:pPr>
      <w:r>
        <w:t>The machine-readable architecture data shall record COMPLEX16 as a MODE variant rather than separate CMUL/CMAC mnemonics.</w:t>
      </w:r>
    </w:p>
    <w:p>
      <w:pPr>
        <w:pStyle w:val="ListBullet"/>
      </w:pPr>
      <w:r>
        <w:t>AUR-ARCH-005 v1.2i supersedes v1.2h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