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DDR-0059 — ZR, Compare Aliases, and Packed Predicate Documentation</w:t>
      </w:r>
    </w:p>
    <w:p>
      <w:r>
        <w:t>Status: LOCKED</w:t>
        <w:br/>
        <w:t>Date: August 3, 2026</w:t>
      </w:r>
    </w:p>
    <w:p>
      <w:pPr>
        <w:pStyle w:val="ListBullet"/>
      </w:pPr>
      <w:r>
        <w:t>The Programmer's Model and ABI shall retain R15=PC, R14=SP, R13=LR, and R12=optional FP/GPR.</w:t>
      </w:r>
    </w:p>
    <w:p>
      <w:pPr>
        <w:pStyle w:val="ListBullet"/>
      </w:pPr>
      <w:r>
        <w:t>The Instruction Reference shall define ZR as register code 0xF only in operand positions where PC access is prohibited.</w:t>
      </w:r>
    </w:p>
    <w:p>
      <w:pPr>
        <w:pStyle w:val="ListBullet"/>
      </w:pPr>
      <w:r>
        <w:t>The Instruction Reference shall mark CMP and TST as aliases rather than independent datapath operations.</w:t>
      </w:r>
    </w:p>
    <w:p>
      <w:pPr>
        <w:pStyle w:val="ListBullet"/>
      </w:pPr>
      <w:r>
        <w:t>Packed-mode chapters shall document per-lane predicate flags generated by ordinary flag-producing ALU operations whose destination is ZR.</w:t>
      </w:r>
    </w:p>
    <w:p>
      <w:pPr>
        <w:pStyle w:val="ListBullet"/>
      </w:pPr>
      <w:r>
        <w:t>Conditional-move documentation shall describe scalar whole-register behavior and packed lane-wise behavior under the same mnemonic and opcode.</w:t>
      </w:r>
    </w:p>
    <w:p>
      <w:pPr>
        <w:pStyle w:val="ListBullet"/>
      </w:pPr>
      <w:r>
        <w:t>No PCMP, PSEL, PMOV, or other packed-only compare/select opcode shall be listed in the baseline ISA.</w:t>
      </w:r>
    </w:p>
    <w:p>
      <w:pPr>
        <w:pStyle w:val="ListBullet"/>
      </w:pPr>
      <w:r>
        <w:t>The assembler shall reject ZR in pair operands, load destinations, and any format where code 0xF retains PC semantics.</w:t>
      </w:r>
    </w:p>
    <w:p>
      <w:pPr>
        <w:pStyle w:val="ListBullet"/>
      </w:pPr>
      <w:r>
        <w:t>The simulator, RTL, decoder tables, scoreboard rules, and verification plan shall include contextual decoding of register code 0xF.</w:t>
      </w:r>
    </w:p>
    <w:p>
      <w:pPr>
        <w:pStyle w:val="ListBullet"/>
      </w:pPr>
      <w:r>
        <w:t>AUR-ARCH-005 v1.2p supersedes v1.2o as the canonical working Instruction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