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Aurora Documentation Decision Register</w:t>
      </w:r>
    </w:p>
    <w:p>
      <w:pPr>
        <w:jc w:val="center"/>
      </w:pPr>
      <w:r>
        <w:rPr>
          <w:i/>
          <w:sz w:val="22"/>
        </w:rPr>
        <w:t>AUR-PM-008 | DDR v1.2</w:t>
      </w:r>
    </w:p>
    <w:p>
      <w:r>
        <w:t>Documentation Decision Records govern why the document set is organized the way it 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DDR ID</w:t>
            </w:r>
          </w:p>
        </w:tc>
        <w:tc>
          <w:tcPr>
            <w:tcW w:type="dxa" w:w="2556"/>
          </w:tcPr>
          <w:p>
            <w:r>
              <w:t>Decision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Rationale</w:t>
            </w:r>
          </w:p>
        </w:tc>
      </w:tr>
      <w:tr>
        <w:tc>
          <w:tcPr>
            <w:tcW w:type="dxa" w:w="2556"/>
          </w:tcPr>
          <w:p>
            <w:r>
              <w:t>DDR-0001</w:t>
            </w:r>
          </w:p>
        </w:tc>
        <w:tc>
          <w:tcPr>
            <w:tcW w:type="dxa" w:w="2556"/>
          </w:tcPr>
          <w:p>
            <w:r>
              <w:t>Adopt stable document IDs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Enables cross-reference and lifecycle tracking.</w:t>
            </w:r>
          </w:p>
        </w:tc>
      </w:tr>
      <w:tr>
        <w:tc>
          <w:tcPr>
            <w:tcW w:type="dxa" w:w="2556"/>
          </w:tcPr>
          <w:p>
            <w:r>
              <w:t>DDR-0002</w:t>
            </w:r>
          </w:p>
        </w:tc>
        <w:tc>
          <w:tcPr>
            <w:tcW w:type="dxa" w:w="2556"/>
          </w:tcPr>
          <w:p>
            <w:r>
              <w:t>Architecture Bible is canonical rationale source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Avoids duplicated rationale.</w:t>
            </w:r>
          </w:p>
        </w:tc>
      </w:tr>
      <w:tr>
        <w:tc>
          <w:tcPr>
            <w:tcW w:type="dxa" w:w="2556"/>
          </w:tcPr>
          <w:p>
            <w:r>
              <w:t>DDR-0003</w:t>
            </w:r>
          </w:p>
        </w:tc>
        <w:tc>
          <w:tcPr>
            <w:tcW w:type="dxa" w:w="2556"/>
          </w:tcPr>
          <w:p>
            <w:r>
              <w:t>Machine-readable ISA is canonical encoding source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Prevents assembler/RTL/doc drift.</w:t>
            </w:r>
          </w:p>
        </w:tc>
      </w:tr>
      <w:tr>
        <w:tc>
          <w:tcPr>
            <w:tcW w:type="dxa" w:w="2556"/>
          </w:tcPr>
          <w:p>
            <w:r>
              <w:t>DDR-0004</w:t>
            </w:r>
          </w:p>
        </w:tc>
        <w:tc>
          <w:tcPr>
            <w:tcW w:type="dxa" w:w="2556"/>
          </w:tcPr>
          <w:p>
            <w:r>
              <w:t>Separate RTL, simulator, FPGA and ASIC documents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Different audiences and lifecycle.</w:t>
            </w:r>
          </w:p>
        </w:tc>
      </w:tr>
      <w:tr>
        <w:tc>
          <w:tcPr>
            <w:tcW w:type="dxa" w:w="2556"/>
          </w:tcPr>
          <w:p>
            <w:r>
              <w:t>DDR-0005</w:t>
            </w:r>
          </w:p>
        </w:tc>
        <w:tc>
          <w:tcPr>
            <w:tcW w:type="dxa" w:w="2556"/>
          </w:tcPr>
          <w:p>
            <w:r>
              <w:t>Split inside-chip, system-context and signal-interface documents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Separates logical/physical core, SoC integration and board-facing interfaces.</w:t>
            </w:r>
          </w:p>
        </w:tc>
      </w:tr>
      <w:tr>
        <w:tc>
          <w:tcPr>
            <w:tcW w:type="dxa" w:w="2556"/>
          </w:tcPr>
          <w:p>
            <w:r>
              <w:t>DDR-0006</w:t>
            </w:r>
          </w:p>
        </w:tc>
        <w:tc>
          <w:tcPr>
            <w:tcW w:type="dxa" w:w="2556"/>
          </w:tcPr>
          <w:p>
            <w:r>
              <w:t>Maintain document outline database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Tracks internal structure and completion.</w:t>
            </w:r>
          </w:p>
        </w:tc>
      </w:tr>
      <w:tr>
        <w:tc>
          <w:tcPr>
            <w:tcW w:type="dxa" w:w="2556"/>
          </w:tcPr>
          <w:p>
            <w:r>
              <w:t>DDR-0007</w:t>
            </w:r>
          </w:p>
        </w:tc>
        <w:tc>
          <w:tcPr>
            <w:tcW w:type="dxa" w:w="2556"/>
          </w:tcPr>
          <w:p>
            <w:r>
              <w:t>Maintain requirements traceability database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Links needs to ADRs, specs and tests.</w:t>
            </w:r>
          </w:p>
        </w:tc>
      </w:tr>
      <w:tr>
        <w:tc>
          <w:tcPr>
            <w:tcW w:type="dxa" w:w="2556"/>
          </w:tcPr>
          <w:p>
            <w:r>
              <w:t>DDR-0008</w:t>
            </w:r>
          </w:p>
        </w:tc>
        <w:tc>
          <w:tcPr>
            <w:tcW w:type="dxa" w:w="2556"/>
          </w:tcPr>
          <w:p>
            <w:r>
              <w:t>Maintain topic index</w:t>
            </w:r>
          </w:p>
        </w:tc>
        <w:tc>
          <w:tcPr>
            <w:tcW w:type="dxa" w:w="2556"/>
          </w:tcPr>
          <w:p>
            <w:r>
              <w:t>Accepted</w:t>
            </w:r>
          </w:p>
        </w:tc>
        <w:tc>
          <w:tcPr>
            <w:tcW w:type="dxa" w:w="2556"/>
          </w:tcPr>
          <w:p>
            <w:r>
              <w:t>Supports cross-document navigation by subject.</w:t>
            </w:r>
          </w:p>
        </w:tc>
      </w:tr>
    </w:tbl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