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Instruction Space Overview (Insert for AUR-ARCH-005)</w:t>
      </w:r>
    </w:p>
    <w:p>
      <w:r>
        <w:t>These pages are intended to appear near the front of the Aurora Instruction Reference, immediately after the instruction encoding chapter. They provide readers with a high-level view of how the ISA is organized before presenting individual instructions.</w:t>
      </w:r>
    </w:p>
    <w:p>
      <w:pPr>
        <w:pStyle w:val="Heading1"/>
      </w:pPr>
      <w:r>
        <w:t>1. Primary Opcode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0x0</w:t>
              <w:br/>
              <w:t>Arithmetic</w:t>
            </w:r>
          </w:p>
        </w:tc>
        <w:tc>
          <w:tcPr>
            <w:tcW w:type="dxa" w:w="2160"/>
          </w:tcPr>
          <w:p>
            <w:r>
              <w:t>0x1</w:t>
              <w:br/>
              <w:t>Logic</w:t>
            </w:r>
          </w:p>
        </w:tc>
        <w:tc>
          <w:tcPr>
            <w:tcW w:type="dxa" w:w="2160"/>
          </w:tcPr>
          <w:p>
            <w:r>
              <w:t>0x2</w:t>
              <w:br/>
              <w:t>Shift/</w:t>
              <w:br/>
              <w:t>Rotate</w:t>
            </w:r>
          </w:p>
        </w:tc>
        <w:tc>
          <w:tcPr>
            <w:tcW w:type="dxa" w:w="2160"/>
          </w:tcPr>
          <w:p>
            <w:r>
              <w:t>0x3</w:t>
              <w:br/>
              <w:t>Multiply/</w:t>
              <w:br/>
              <w:t>Reduction</w:t>
            </w:r>
          </w:p>
        </w:tc>
      </w:tr>
      <w:tr>
        <w:tc>
          <w:tcPr>
            <w:tcW w:type="dxa" w:w="2160"/>
          </w:tcPr>
          <w:p>
            <w:r>
              <w:t>0x4</w:t>
              <w:br/>
              <w:t>Load</w:t>
            </w:r>
          </w:p>
        </w:tc>
        <w:tc>
          <w:tcPr>
            <w:tcW w:type="dxa" w:w="2160"/>
          </w:tcPr>
          <w:p>
            <w:r>
              <w:t>0x5</w:t>
              <w:br/>
              <w:t>Store</w:t>
            </w:r>
          </w:p>
        </w:tc>
        <w:tc>
          <w:tcPr>
            <w:tcW w:type="dxa" w:w="2160"/>
          </w:tcPr>
          <w:p>
            <w:r>
              <w:t>0x6</w:t>
              <w:br/>
              <w:t>Branch/</w:t>
              <w:br/>
              <w:t>Control</w:t>
            </w:r>
          </w:p>
        </w:tc>
        <w:tc>
          <w:tcPr>
            <w:tcW w:type="dxa" w:w="2160"/>
          </w:tcPr>
          <w:p>
            <w:r>
              <w:t>0x7</w:t>
              <w:br/>
              <w:t>Compare</w:t>
            </w:r>
          </w:p>
        </w:tc>
      </w:tr>
      <w:tr>
        <w:tc>
          <w:tcPr>
            <w:tcW w:type="dxa" w:w="2160"/>
          </w:tcPr>
          <w:p>
            <w:r>
              <w:t>0x8</w:t>
              <w:br/>
              <w:t>Packed DSP</w:t>
            </w:r>
          </w:p>
        </w:tc>
        <w:tc>
          <w:tcPr>
            <w:tcW w:type="dxa" w:w="2160"/>
          </w:tcPr>
          <w:p>
            <w:r>
              <w:t>0x9</w:t>
              <w:br/>
              <w:t>SIMD /</w:t>
              <w:br/>
              <w:t>Packed</w:t>
            </w:r>
          </w:p>
        </w:tc>
        <w:tc>
          <w:tcPr>
            <w:tcW w:type="dxa" w:w="2160"/>
          </w:tcPr>
          <w:p>
            <w:r>
              <w:t>0xA</w:t>
              <w:br/>
              <w:t>Streams</w:t>
            </w:r>
          </w:p>
        </w:tc>
        <w:tc>
          <w:tcPr>
            <w:tcW w:type="dxa" w:w="2160"/>
          </w:tcPr>
          <w:p>
            <w:r>
              <w:t>0xB</w:t>
              <w:br/>
              <w:t>System</w:t>
            </w:r>
          </w:p>
        </w:tc>
      </w:tr>
      <w:tr>
        <w:tc>
          <w:tcPr>
            <w:tcW w:type="dxa" w:w="2160"/>
          </w:tcPr>
          <w:p>
            <w:r>
              <w:t>0xC</w:t>
              <w:br/>
              <w:t>Control /</w:t>
              <w:br/>
              <w:t>Special</w:t>
            </w:r>
          </w:p>
        </w:tc>
        <w:tc>
          <w:tcPr>
            <w:tcW w:type="dxa" w:w="2160"/>
          </w:tcPr>
          <w:p>
            <w:r>
              <w:t>0xD</w:t>
              <w:br/>
              <w:t>Mode</w:t>
            </w:r>
          </w:p>
        </w:tc>
        <w:tc>
          <w:tcPr>
            <w:tcW w:type="dxa" w:w="2160"/>
          </w:tcPr>
          <w:p>
            <w:r>
              <w:t>0xE</w:t>
              <w:br/>
              <w:t>Extensions</w:t>
            </w:r>
          </w:p>
        </w:tc>
        <w:tc>
          <w:tcPr>
            <w:tcW w:type="dxa" w:w="2160"/>
          </w:tcPr>
          <w:p>
            <w:r>
              <w:t>0xF</w:t>
              <w:br/>
              <w:t>Reserved</w:t>
            </w:r>
          </w:p>
        </w:tc>
      </w:tr>
    </w:tbl>
    <w:p>
      <w:pPr>
        <w:pStyle w:val="Heading1"/>
      </w:pPr>
      <w:r>
        <w:t>2. Opcode Space Allocation (Conceptual)</w:t>
      </w:r>
    </w:p>
    <w:p>
      <w:r>
        <w:t>Approximate emphasis of the Aurora ISA. Final percentages track the frozen opcode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Instruction Family</w:t>
            </w:r>
          </w:p>
        </w:tc>
        <w:tc>
          <w:tcPr>
            <w:tcW w:type="dxa" w:w="4320"/>
          </w:tcPr>
          <w:p>
            <w:r>
              <w:t>Relative Allocation</w:t>
            </w:r>
          </w:p>
        </w:tc>
      </w:tr>
      <w:tr>
        <w:tc>
          <w:tcPr>
            <w:tcW w:type="dxa" w:w="4320"/>
          </w:tcPr>
          <w:p>
            <w:r>
              <w:t>Integer Arithmetic</w:t>
            </w:r>
          </w:p>
        </w:tc>
        <w:tc>
          <w:tcPr>
            <w:tcW w:type="dxa" w:w="4320"/>
          </w:tcPr>
          <w:p>
            <w:r>
              <w:t>Largest</w:t>
            </w:r>
          </w:p>
        </w:tc>
      </w:tr>
      <w:tr>
        <w:tc>
          <w:tcPr>
            <w:tcW w:type="dxa" w:w="4320"/>
          </w:tcPr>
          <w:p>
            <w:r>
              <w:t>Load / Store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Packed DSP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Logic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Branch / Control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Streams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Reserved / Future</w:t>
            </w:r>
          </w:p>
        </w:tc>
        <w:tc>
          <w:tcPr>
            <w:tcW w:type="dxa" w:w="4320"/>
          </w:tcPr>
          <w:p>
            <w:r>
              <w:t>Remaining</w:t>
            </w:r>
          </w:p>
        </w:tc>
      </w:tr>
    </w:tbl>
    <w:p>
      <w:pPr>
        <w:pStyle w:val="Heading1"/>
      </w:pPr>
      <w:r>
        <w:t>3. Decoder Organization</w:t>
      </w:r>
    </w:p>
    <w:p>
      <w:pPr/>
      <w:r>
        <w:t>Instruction Word</w:t>
        <w:br/>
        <w:t xml:space="preserve">        │</w:t>
        <w:br/>
        <w:t xml:space="preserve">        ▼</w:t>
        <w:br/>
        <w:t xml:space="preserve">  Primary Opcode</w:t>
        <w:br/>
        <w:t xml:space="preserve">        │</w:t>
        <w:br/>
        <w:t xml:space="preserve"> ┌──────┼──────┐</w:t>
        <w:br/>
        <w:t xml:space="preserve"> ▼      ▼      ▼</w:t>
        <w:br/>
        <w:t>Arithmetic Logic Memory</w:t>
        <w:br/>
        <w:t xml:space="preserve">        │</w:t>
        <w:br/>
        <w:t xml:space="preserve">    Sub-opcode</w:t>
        <w:br/>
        <w:t xml:space="preserve">        │</w:t>
        <w:br/>
        <w:t xml:space="preserve"> ADD  SUB  CMP  ...</w:t>
        <w:br/>
      </w:r>
    </w:p>
    <w:p>
      <w:pPr>
        <w:pStyle w:val="Heading1"/>
      </w:pPr>
      <w:r>
        <w:t>4. Instruction Family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Family</w:t>
            </w:r>
          </w:p>
        </w:tc>
        <w:tc>
          <w:tcPr>
            <w:tcW w:type="dxa" w:w="1728"/>
          </w:tcPr>
          <w:p>
            <w:r>
              <w:t>Primary Opcode</w:t>
            </w:r>
          </w:p>
        </w:tc>
        <w:tc>
          <w:tcPr>
            <w:tcW w:type="dxa" w:w="1728"/>
          </w:tcPr>
          <w:p>
            <w:r>
              <w:t>Functional Unit</w:t>
            </w:r>
          </w:p>
        </w:tc>
        <w:tc>
          <w:tcPr>
            <w:tcW w:type="dxa" w:w="1728"/>
          </w:tcPr>
          <w:p>
            <w:r>
              <w:t>Pipeline</w:t>
            </w:r>
          </w:p>
        </w:tc>
        <w:tc>
          <w:tcPr>
            <w:tcW w:type="dxa" w:w="1728"/>
          </w:tcPr>
          <w:p>
            <w:r>
              <w:t>Reference Chapter</w:t>
            </w:r>
          </w:p>
        </w:tc>
      </w:tr>
      <w:tr>
        <w:tc>
          <w:tcPr>
            <w:tcW w:type="dxa" w:w="1728"/>
          </w:tcPr>
          <w:p>
            <w:r>
              <w:t>Arithmetic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Integer ALU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Logic</w:t>
            </w:r>
          </w:p>
        </w:tc>
        <w:tc>
          <w:tcPr>
            <w:tcW w:type="dxa" w:w="1728"/>
          </w:tcPr>
          <w:p>
            <w:r>
              <w:t>0x1</w:t>
            </w:r>
          </w:p>
        </w:tc>
        <w:tc>
          <w:tcPr>
            <w:tcW w:type="dxa" w:w="1728"/>
          </w:tcPr>
          <w:p>
            <w:r>
              <w:t>Integer ALU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Shift/Rotate</w:t>
            </w:r>
          </w:p>
        </w:tc>
        <w:tc>
          <w:tcPr>
            <w:tcW w:type="dxa" w:w="1728"/>
          </w:tcPr>
          <w:p>
            <w:r>
              <w:t>0x2</w:t>
            </w:r>
          </w:p>
        </w:tc>
        <w:tc>
          <w:tcPr>
            <w:tcW w:type="dxa" w:w="1728"/>
          </w:tcPr>
          <w:p>
            <w:r>
              <w:t>Shifter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Multiply/Reduction</w:t>
            </w:r>
          </w:p>
        </w:tc>
        <w:tc>
          <w:tcPr>
            <w:tcW w:type="dxa" w:w="1728"/>
          </w:tcPr>
          <w:p>
            <w:r>
              <w:t>0x3</w:t>
            </w:r>
          </w:p>
        </w:tc>
        <w:tc>
          <w:tcPr>
            <w:tcW w:type="dxa" w:w="1728"/>
          </w:tcPr>
          <w:p>
            <w:r>
              <w:t>Shared Arithmetic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Load/Store</w:t>
            </w:r>
          </w:p>
        </w:tc>
        <w:tc>
          <w:tcPr>
            <w:tcW w:type="dxa" w:w="1728"/>
          </w:tcPr>
          <w:p>
            <w:r>
              <w:t>0x4-0x5</w:t>
            </w:r>
          </w:p>
        </w:tc>
        <w:tc>
          <w:tcPr>
            <w:tcW w:type="dxa" w:w="1728"/>
          </w:tcPr>
          <w:p>
            <w:r>
              <w:t>LSU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Branch</w:t>
            </w:r>
          </w:p>
        </w:tc>
        <w:tc>
          <w:tcPr>
            <w:tcW w:type="dxa" w:w="1728"/>
          </w:tcPr>
          <w:p>
            <w:r>
              <w:t>0x6</w:t>
            </w:r>
          </w:p>
        </w:tc>
        <w:tc>
          <w:tcPr>
            <w:tcW w:type="dxa" w:w="1728"/>
          </w:tcPr>
          <w:p>
            <w:r>
              <w:t>Branch Unit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Streams</w:t>
            </w:r>
          </w:p>
        </w:tc>
        <w:tc>
          <w:tcPr>
            <w:tcW w:type="dxa" w:w="1728"/>
          </w:tcPr>
          <w:p>
            <w:r>
              <w:t>0xA</w:t>
            </w:r>
          </w:p>
        </w:tc>
        <w:tc>
          <w:tcPr>
            <w:tcW w:type="dxa" w:w="1728"/>
          </w:tcPr>
          <w:p>
            <w:r>
              <w:t>Stream Engine</w:t>
            </w:r>
          </w:p>
        </w:tc>
        <w:tc>
          <w:tcPr>
            <w:tcW w:type="dxa" w:w="1728"/>
          </w:tcPr>
          <w:p>
            <w:r>
              <w:t>EX/MEM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0xB-0xD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WB/RET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</w:tbl>
    <w:p>
      <w:pPr>
        <w:pStyle w:val="Heading1"/>
      </w:pPr>
      <w:r>
        <w:t>5. ISA Expansion Policy</w:t>
      </w:r>
    </w:p>
    <w:p>
      <w:pPr>
        <w:pStyle w:val="ListBullet"/>
      </w:pPr>
      <w:r>
        <w:t>Reserved opcode regions remain unused until approved through an Architecture Decision Record.</w:t>
      </w:r>
    </w:p>
    <w:p>
      <w:pPr>
        <w:pStyle w:val="ListBullet"/>
      </w:pPr>
      <w:r>
        <w:t>Instruction families are kept contiguous where practical to simplify decoder logic.</w:t>
      </w:r>
    </w:p>
    <w:p>
      <w:pPr>
        <w:pStyle w:val="ListBullet"/>
      </w:pPr>
      <w:r>
        <w:t>Documentation reflects the canonical frozen ISA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