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Aurora Core Microarchitecture &amp; Floorplan Specification</w:t>
      </w:r>
    </w:p>
    <w:p>
      <w:pPr>
        <w:jc w:val="center"/>
      </w:pPr>
      <w:r>
        <w:rPr>
          <w:i/>
          <w:sz w:val="22"/>
        </w:rPr>
        <w:t>AUR-ARCH-008 | Inside the Chip</w:t>
      </w:r>
    </w:p>
    <w:p>
      <w:pPr>
        <w:pStyle w:val="Heading1"/>
      </w:pPr>
      <w:r>
        <w:t>1. Core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Block</w:t>
            </w:r>
          </w:p>
        </w:tc>
        <w:tc>
          <w:tcPr>
            <w:tcW w:type="dxa" w:w="3408"/>
          </w:tcPr>
          <w:p>
            <w:r>
              <w:t>Approx. area %</w:t>
            </w:r>
          </w:p>
        </w:tc>
        <w:tc>
          <w:tcPr>
            <w:tcW w:type="dxa" w:w="3408"/>
          </w:tcPr>
          <w:p>
            <w:r>
              <w:t>Role</w:t>
            </w:r>
          </w:p>
        </w:tc>
      </w:tr>
      <w:tr>
        <w:tc>
          <w:tcPr>
            <w:tcW w:type="dxa" w:w="3408"/>
          </w:tcPr>
          <w:p>
            <w:r>
              <w:t>Front end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Fetch, prefetch, branch prediction, decode</w:t>
            </w:r>
          </w:p>
        </w:tc>
      </w:tr>
      <w:tr>
        <w:tc>
          <w:tcPr>
            <w:tcW w:type="dxa" w:w="3408"/>
          </w:tcPr>
          <w:p>
            <w:r>
              <w:t>Issue window &amp; scoreboard</w:t>
            </w:r>
          </w:p>
        </w:tc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4-entry pairing, hazards, completion tracking</w:t>
            </w:r>
          </w:p>
        </w:tc>
      </w:tr>
      <w:tr>
        <w:tc>
          <w:tcPr>
            <w:tcW w:type="dxa" w:w="3408"/>
          </w:tcPr>
          <w:p>
            <w:r>
              <w:t>Register file</w:t>
            </w:r>
          </w:p>
        </w:tc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16 x 32, two read ports, writeback arbitration</w:t>
            </w:r>
          </w:p>
        </w:tc>
      </w:tr>
      <w:tr>
        <w:tc>
          <w:tcPr>
            <w:tcW w:type="dxa" w:w="3408"/>
          </w:tcPr>
          <w:p>
            <w:r>
              <w:t>Two general execution lanes</w:t>
            </w:r>
          </w:p>
        </w:tc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Scalar/packed ALU, shifts, layout</w:t>
            </w:r>
          </w:p>
        </w:tc>
      </w:tr>
      <w:tr>
        <w:tc>
          <w:tcPr>
            <w:tcW w:type="dxa" w:w="3408"/>
          </w:tcPr>
          <w:p>
            <w:r>
              <w:t>Multiply/reduction cluster</w:t>
            </w:r>
          </w:p>
        </w:tc>
        <w:tc>
          <w:tcPr>
            <w:tcW w:type="dxa" w:w="3408"/>
          </w:tcPr>
          <w:p>
            <w:r>
              <w:t>18</w:t>
            </w:r>
          </w:p>
        </w:tc>
        <w:tc>
          <w:tcPr>
            <w:tcW w:type="dxa" w:w="3408"/>
          </w:tcPr>
          <w:p>
            <w:r>
              <w:t>Radix multiplier, compressor/reduction tree, MAC/DOT/SAD</w:t>
            </w:r>
          </w:p>
        </w:tc>
      </w:tr>
      <w:tr>
        <w:tc>
          <w:tcPr>
            <w:tcW w:type="dxa" w:w="3408"/>
          </w:tcPr>
          <w:p>
            <w:r>
              <w:t>DIVSTEP assist/control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One-step control and muxing; reuses lane ALU/shifter</w:t>
            </w:r>
          </w:p>
        </w:tc>
      </w:tr>
      <w:tr>
        <w:tc>
          <w:tcPr>
            <w:tcW w:type="dxa" w:w="3408"/>
          </w:tcPr>
          <w:p>
            <w:r>
              <w:t>Stream engines Q0/Q1</w:t>
            </w:r>
          </w:p>
        </w:tc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128-bit staging each, circular addressing</w:t>
            </w:r>
          </w:p>
        </w:tc>
      </w:tr>
      <w:tr>
        <w:tc>
          <w:tcPr>
            <w:tcW w:type="dxa" w:w="3408"/>
          </w:tcPr>
          <w:p>
            <w:r>
              <w:t>LSU and AGU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Load/store launch and address generation</w:t>
            </w:r>
          </w:p>
        </w:tc>
      </w:tr>
      <w:tr>
        <w:tc>
          <w:tcPr>
            <w:tcW w:type="dxa" w:w="3408"/>
          </w:tcPr>
          <w:p>
            <w:r>
              <w:t>Interrupt/ASC/control</w:t>
            </w:r>
          </w:p>
        </w:tc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Priority control, timers, privileged entry</w:t>
            </w:r>
          </w:p>
        </w:tc>
      </w:tr>
      <w:tr>
        <w:tc>
          <w:tcPr>
            <w:tcW w:type="dxa" w:w="3408"/>
          </w:tcPr>
          <w:p>
            <w:r>
              <w:t>Core memory fabric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TCM/SRAM/MMIO/DMA arbitration</w:t>
            </w:r>
          </w:p>
        </w:tc>
      </w:tr>
      <w:tr>
        <w:tc>
          <w:tcPr>
            <w:tcW w:type="dxa" w:w="3408"/>
          </w:tcPr>
          <w:p>
            <w:r>
              <w:t>Debug/trace/misc.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Debug state and implementation overhead</w:t>
            </w:r>
          </w:p>
        </w:tc>
      </w:tr>
    </w:tbl>
    <w:p>
      <w:pPr>
        <w:pStyle w:val="Heading1"/>
      </w:pPr>
      <w:r>
        <w:t>2. Connectivity</w:t>
      </w:r>
    </w:p>
    <w:p>
      <w:r>
        <w:t>Fetch -&gt; decode/window -&gt; register read -&gt; either issue lane -&gt; shared specialized resources -&gt; completion/commit -&gt; memory fabric.</w:t>
      </w:r>
    </w:p>
    <w:p>
      <w:pPr>
        <w:pStyle w:val="Heading1"/>
      </w:pPr>
      <w:r>
        <w:t>3. Physical Guidance</w:t>
      </w:r>
    </w:p>
    <w:p>
      <w:pPr>
        <w:pStyle w:val="ListBullet"/>
      </w:pPr>
      <w:r>
        <w:t>Place register file centrally between issue lanes.</w:t>
      </w:r>
    </w:p>
    <w:p>
      <w:pPr>
        <w:pStyle w:val="ListBullet"/>
      </w:pPr>
      <w:r>
        <w:t>Place multiplier/reduction cluster close to both lanes and accumulators.</w:t>
      </w:r>
    </w:p>
    <w:p>
      <w:pPr>
        <w:pStyle w:val="ListBullet"/>
      </w:pPr>
      <w:r>
        <w:t>Place Q0/Q1 near LSU and DTCM/SRAM interfaces.</w:t>
      </w:r>
    </w:p>
    <w:p>
      <w:pPr>
        <w:pStyle w:val="ListBullet"/>
      </w:pPr>
      <w:r>
        <w:t>Place ITCM near front end and DTCM near LSU/streams.</w:t>
      </w:r>
    </w:p>
    <w:p>
      <w:pPr>
        <w:pStyle w:val="ListBullet"/>
      </w:pPr>
      <w:r>
        <w:t>Keep issue-window dependency comparators physically compact.</w:t>
      </w:r>
    </w:p>
    <w:p>
      <w:pPr>
        <w:pStyle w:val="ListBullet"/>
      </w:pPr>
      <w:r>
        <w:t>Area percentages are planning estimates, not synthesis results.</w:t>
      </w:r>
    </w:p>
    <w:p>
      <w:pPr>
        <w:pStyle w:val="Heading1"/>
      </w:pPr>
      <w:r>
        <w:t>4. Critical Paths</w:t>
      </w:r>
    </w:p>
    <w:p>
      <w:pPr>
        <w:pStyle w:val="ListBullet"/>
      </w:pPr>
      <w:r>
        <w:t>Window dependency select</w:t>
      </w:r>
    </w:p>
    <w:p>
      <w:pPr>
        <w:pStyle w:val="ListBullet"/>
      </w:pPr>
      <w:r>
        <w:t>Register-file read to ALU</w:t>
      </w:r>
    </w:p>
    <w:p>
      <w:pPr>
        <w:pStyle w:val="ListBullet"/>
      </w:pPr>
      <w:r>
        <w:t>Reduction-tree final stage</w:t>
      </w:r>
    </w:p>
    <w:p>
      <w:pPr>
        <w:pStyle w:val="ListBullet"/>
      </w:pPr>
      <w:r>
        <w:t>Memory-bank arbitration</w:t>
      </w:r>
    </w:p>
    <w:p>
      <w:pPr>
        <w:pStyle w:val="ListBullet"/>
      </w:pPr>
      <w:r>
        <w:t>Completion-to-forwarding path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