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AUR-RTL-004 Cross-Module Timing Specification</w:t>
      </w:r>
    </w:p>
    <w:p>
      <w:pPr>
        <w:pStyle w:val="Heading1"/>
      </w:pPr>
      <w:r>
        <w:t>Cycle Boundaries</w:t>
      </w:r>
    </w:p>
    <w:p>
      <w:pPr>
        <w:pStyle w:val="ListBullet"/>
      </w:pPr>
      <w:r>
        <w:t>Fetch→Decode: one pipeline transfer.</w:t>
      </w:r>
    </w:p>
    <w:p>
      <w:pPr>
        <w:pStyle w:val="ListBullet"/>
      </w:pPr>
      <w:r>
        <w:t>Decode→Issue after pairing.</w:t>
      </w:r>
    </w:p>
    <w:p>
      <w:pPr>
        <w:pStyle w:val="ListBullet"/>
      </w:pPr>
      <w:r>
        <w:t>Execution writes completion records.</w:t>
      </w:r>
    </w:p>
    <w:p>
      <w:pPr>
        <w:pStyle w:val="ListBullet"/>
      </w:pPr>
      <w:r>
        <w:t>Retirement commits oldest completed instructions.</w:t>
      </w:r>
    </w:p>
    <w:p>
      <w:pPr>
        <w:pStyle w:val="Heading1"/>
      </w:pPr>
      <w:r>
        <w:t>Flush Rules</w:t>
      </w:r>
    </w:p>
    <w:p>
      <w:pPr>
        <w:pStyle w:val="ListBullet"/>
      </w:pPr>
      <w:r>
        <w:t>Flush invalidates fetch, decode window, younger completions.</w:t>
      </w:r>
    </w:p>
    <w:p>
      <w:pPr>
        <w:pStyle w:val="ListBullet"/>
      </w:pPr>
      <w:r>
        <w:t>Committed state is never rolled back.</w:t>
      </w:r>
    </w:p>
    <w:p>
      <w:pPr>
        <w:pStyle w:val="Heading1"/>
      </w:pPr>
      <w:r>
        <w:t>Memory Timing</w:t>
      </w:r>
    </w:p>
    <w:p>
      <w:pPr>
        <w:pStyle w:val="ListBullet"/>
      </w:pPr>
      <w:r>
        <w:t>Ready/valid handshake.</w:t>
      </w:r>
    </w:p>
    <w:p>
      <w:pPr>
        <w:pStyle w:val="ListBullet"/>
      </w:pPr>
      <w:r>
        <w:t>Outstanding requests tracked by age tags.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