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AUR-RTL-006 RTL Coding Standard</w:t>
      </w:r>
    </w:p>
    <w:p>
      <w:pPr>
        <w:pStyle w:val="Heading1"/>
      </w:pPr>
      <w:r>
        <w:t>Naming</w:t>
      </w:r>
    </w:p>
    <w:p>
      <w:pPr>
        <w:pStyle w:val="ListBullet"/>
      </w:pPr>
      <w:r>
        <w:t>*_i inputs</w:t>
      </w:r>
    </w:p>
    <w:p>
      <w:pPr>
        <w:pStyle w:val="ListBullet"/>
      </w:pPr>
      <w:r>
        <w:t>*_o outputs</w:t>
      </w:r>
    </w:p>
    <w:p>
      <w:pPr>
        <w:pStyle w:val="ListBullet"/>
      </w:pPr>
      <w:r>
        <w:t>*_q registered state</w:t>
      </w:r>
    </w:p>
    <w:p>
      <w:pPr>
        <w:pStyle w:val="ListBullet"/>
      </w:pPr>
      <w:r>
        <w:t>*_d next state</w:t>
      </w:r>
    </w:p>
    <w:p>
      <w:pPr>
        <w:pStyle w:val="Heading1"/>
      </w:pPr>
      <w:r>
        <w:t>Reset</w:t>
      </w:r>
    </w:p>
    <w:p>
      <w:pPr>
        <w:pStyle w:val="ListBullet"/>
      </w:pPr>
      <w:r>
        <w:t>Synchronous active-high baseline</w:t>
      </w:r>
    </w:p>
    <w:p>
      <w:pPr>
        <w:pStyle w:val="ListBullet"/>
      </w:pPr>
      <w:r>
        <w:t>No inferred latches</w:t>
      </w:r>
    </w:p>
    <w:p>
      <w:pPr>
        <w:pStyle w:val="Heading1"/>
      </w:pPr>
      <w:r>
        <w:t>Assertions</w:t>
      </w:r>
    </w:p>
    <w:p>
      <w:pPr>
        <w:pStyle w:val="ListBullet"/>
      </w:pPr>
      <w:r>
        <w:t>One SVA per protocol invariant</w:t>
      </w:r>
    </w:p>
    <w:p>
      <w:pPr>
        <w:pStyle w:val="ListBullet"/>
      </w:pPr>
      <w:r>
        <w:t>Assertions accompany every interface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