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AUR-RTL-002G Detailed Design Blueprint</w:t>
      </w:r>
    </w:p>
    <w:p>
      <w:pPr>
        <w:pStyle w:val="Heading1"/>
      </w:pPr>
      <w:r>
        <w:t>Architectural Responsibility</w:t>
      </w:r>
    </w:p>
    <w:p>
      <w:r>
        <w:t>The Load/Store Unit implements the architectural behavior defined by the ISA and microarchitecture specifications.</w:t>
      </w:r>
    </w:p>
    <w:p>
      <w:pPr>
        <w:pStyle w:val="Heading1"/>
      </w:pPr>
      <w:r>
        <w:t>Primary Functions</w:t>
      </w:r>
    </w:p>
    <w:p>
      <w:pPr>
        <w:pStyle w:val="ListBullet"/>
      </w:pPr>
      <w:r>
        <w:t>Address generation</w:t>
      </w:r>
    </w:p>
    <w:p>
      <w:pPr>
        <w:pStyle w:val="ListBullet"/>
      </w:pPr>
      <w:r>
        <w:t>bank selection</w:t>
      </w:r>
    </w:p>
    <w:p>
      <w:pPr>
        <w:pStyle w:val="ListBullet"/>
      </w:pPr>
      <w:r>
        <w:t>MMIO</w:t>
      </w:r>
    </w:p>
    <w:p>
      <w:pPr>
        <w:pStyle w:val="ListBullet"/>
      </w:pPr>
      <w:r>
        <w:t>ITCM/DTCM</w:t>
      </w:r>
    </w:p>
    <w:p>
      <w:pPr>
        <w:pStyle w:val="ListBullet"/>
      </w:pPr>
      <w:r>
        <w:t>alignment</w:t>
      </w:r>
    </w:p>
    <w:p>
      <w:pPr>
        <w:pStyle w:val="Heading1"/>
      </w:pPr>
      <w:r>
        <w:t>Pipeline Placement</w:t>
      </w:r>
    </w:p>
    <w:p>
      <w:r>
        <w:t>Identify stage ownership, input/output latching, forwarding boundaries, and stall behavior.</w:t>
      </w:r>
    </w:p>
    <w:p>
      <w:pPr>
        <w:pStyle w:val="Heading1"/>
      </w:pPr>
      <w:r>
        <w:t>State Elements</w:t>
      </w:r>
    </w:p>
    <w:p>
      <w:r>
        <w:t>Enumerate every flip-flop, RAM, counter, queue, and valid bit owned by this module.</w:t>
      </w:r>
    </w:p>
    <w:p>
      <w:pPr>
        <w:pStyle w:val="Heading1"/>
      </w:pPr>
      <w:r>
        <w:t>Interfaces</w:t>
      </w:r>
    </w:p>
    <w:p>
      <w:r>
        <w:t>Specify every signal with width, direction, timing, reset value, and protocol.</w:t>
      </w:r>
    </w:p>
    <w:p>
      <w:pPr>
        <w:pStyle w:val="Heading1"/>
      </w:pPr>
      <w:r>
        <w:t>Microarchitecture Notes</w:t>
      </w:r>
    </w:p>
    <w:p>
      <w:pPr>
        <w:pStyle w:val="ListBullet"/>
      </w:pPr>
      <w:r>
        <w:t>One launch/cycle baseline</w:t>
      </w:r>
    </w:p>
    <w:p>
      <w:pPr>
        <w:pStyle w:val="ListBullet"/>
      </w:pPr>
      <w:r>
        <w:t>DMA interaction</w:t>
      </w:r>
    </w:p>
    <w:p>
      <w:pPr>
        <w:pStyle w:val="Heading1"/>
      </w:pPr>
      <w:r>
        <w:t>RTL Guidance</w:t>
      </w:r>
    </w:p>
    <w:p>
      <w:r>
        <w:t>Provide synthesizable SystemVerilog pseudocode, parameterization rules, assertions, and clock-gating opportunities.</w:t>
      </w:r>
    </w:p>
    <w:p>
      <w:pPr>
        <w:pStyle w:val="Heading1"/>
      </w:pPr>
      <w:r>
        <w:t>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Directed</w:t>
            </w:r>
          </w:p>
        </w:tc>
        <w:tc>
          <w:tcPr>
            <w:tcW w:type="dxa" w:w="2880"/>
          </w:tcPr>
          <w:p>
            <w:r>
              <w:t>Random/Formal</w:t>
            </w:r>
          </w:p>
        </w:tc>
      </w:tr>
      <w:tr>
        <w:tc>
          <w:tcPr>
            <w:tcW w:type="dxa" w:w="2880"/>
          </w:tcPr>
          <w:p>
            <w:r>
              <w:t>Address generation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bank selection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MMIO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ITCM/DTCM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alignment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>
      <w:pPr>
        <w:pStyle w:val="Heading1"/>
      </w:pPr>
      <w:r>
        <w:t>Open Items</w:t>
      </w:r>
    </w:p>
    <w:p>
      <w:r>
        <w:t>Fill with concrete signal definitions and RTL as implementation proceeds.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