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AUR-RTL-002G Load/Store Unit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Generate effective addresses, enforce alignment and protection, launch ordered memory transactions, and return scalar or paired data through the scoreboard/completion system.</w:t>
      </w:r>
    </w:p>
    <w:p>
      <w:pPr>
        <w:pStyle w:val="Heading1"/>
      </w:pPr>
      <w:r>
        <w:t>2.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Signal</w:t>
            </w:r>
          </w:p>
        </w:tc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</w:tr>
      <w:tr>
        <w:tc>
          <w:tcPr>
            <w:tcW w:type="dxa" w:w="2592"/>
          </w:tcPr>
          <w:p>
            <w:r>
              <w:t>req_valid_i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Memory request</w:t>
            </w:r>
          </w:p>
        </w:tc>
      </w:tr>
      <w:tr>
        <w:tc>
          <w:tcPr>
            <w:tcW w:type="dxa" w:w="2592"/>
          </w:tcPr>
          <w:p>
            <w:r>
              <w:t>req_load_i/req_store_i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 each</w:t>
            </w:r>
          </w:p>
        </w:tc>
        <w:tc>
          <w:tcPr>
            <w:tcW w:type="dxa" w:w="2592"/>
          </w:tcPr>
          <w:p>
            <w:r>
              <w:t>Operation type</w:t>
            </w:r>
          </w:p>
        </w:tc>
      </w:tr>
      <w:tr>
        <w:tc>
          <w:tcPr>
            <w:tcW w:type="dxa" w:w="2592"/>
          </w:tcPr>
          <w:p>
            <w:r>
              <w:t>base_i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Base address</w:t>
            </w:r>
          </w:p>
        </w:tc>
      </w:tr>
      <w:tr>
        <w:tc>
          <w:tcPr>
            <w:tcW w:type="dxa" w:w="2592"/>
          </w:tcPr>
          <w:p>
            <w:r>
              <w:t>offset_i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signed immediate</w:t>
            </w:r>
          </w:p>
        </w:tc>
        <w:tc>
          <w:tcPr>
            <w:tcW w:type="dxa" w:w="2592"/>
          </w:tcPr>
          <w:p>
            <w:r>
              <w:t>Offset</w:t>
            </w:r>
          </w:p>
        </w:tc>
      </w:tr>
      <w:tr>
        <w:tc>
          <w:tcPr>
            <w:tcW w:type="dxa" w:w="2592"/>
          </w:tcPr>
          <w:p>
            <w:r>
              <w:t>store_data_i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64 max</w:t>
            </w:r>
          </w:p>
        </w:tc>
        <w:tc>
          <w:tcPr>
            <w:tcW w:type="dxa" w:w="2592"/>
          </w:tcPr>
          <w:p>
            <w:r>
              <w:t>Store data or pair</w:t>
            </w:r>
          </w:p>
        </w:tc>
      </w:tr>
      <w:tr>
        <w:tc>
          <w:tcPr>
            <w:tcW w:type="dxa" w:w="2592"/>
          </w:tcPr>
          <w:p>
            <w:r>
              <w:t>width_i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8/16/32/64</w:t>
            </w:r>
          </w:p>
        </w:tc>
      </w:tr>
      <w:tr>
        <w:tc>
          <w:tcPr>
            <w:tcW w:type="dxa" w:w="2592"/>
          </w:tcPr>
          <w:p>
            <w:r>
              <w:t>device_i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MMIO/strongly ordered</w:t>
            </w:r>
          </w:p>
        </w:tc>
      </w:tr>
      <w:tr>
        <w:tc>
          <w:tcPr>
            <w:tcW w:type="dxa" w:w="2592"/>
          </w:tcPr>
          <w:p>
            <w:r>
              <w:t>mem_valid_o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Fabric request</w:t>
            </w:r>
          </w:p>
        </w:tc>
      </w:tr>
      <w:tr>
        <w:tc>
          <w:tcPr>
            <w:tcW w:type="dxa" w:w="2592"/>
          </w:tcPr>
          <w:p>
            <w:r>
              <w:t>mem_ready_i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Fabric response</w:t>
            </w:r>
          </w:p>
        </w:tc>
      </w:tr>
      <w:tr>
        <w:tc>
          <w:tcPr>
            <w:tcW w:type="dxa" w:w="2592"/>
          </w:tcPr>
          <w:p>
            <w:r>
              <w:t>mem_addr_o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Effective address</w:t>
            </w:r>
          </w:p>
        </w:tc>
      </w:tr>
      <w:tr>
        <w:tc>
          <w:tcPr>
            <w:tcW w:type="dxa" w:w="2592"/>
          </w:tcPr>
          <w:p>
            <w:r>
              <w:t>mem_wdata_o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64 max</w:t>
            </w:r>
          </w:p>
        </w:tc>
        <w:tc>
          <w:tcPr>
            <w:tcW w:type="dxa" w:w="2592"/>
          </w:tcPr>
          <w:p>
            <w:r>
              <w:t>Write data</w:t>
            </w:r>
          </w:p>
        </w:tc>
      </w:tr>
      <w:tr>
        <w:tc>
          <w:tcPr>
            <w:tcW w:type="dxa" w:w="2592"/>
          </w:tcPr>
          <w:p>
            <w:r>
              <w:t>mem_rdata_i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64 max</w:t>
            </w:r>
          </w:p>
        </w:tc>
        <w:tc>
          <w:tcPr>
            <w:tcW w:type="dxa" w:w="2592"/>
          </w:tcPr>
          <w:p>
            <w:r>
              <w:t>Read data</w:t>
            </w:r>
          </w:p>
        </w:tc>
      </w:tr>
      <w:tr>
        <w:tc>
          <w:tcPr>
            <w:tcW w:type="dxa" w:w="2592"/>
          </w:tcPr>
          <w:p>
            <w:r>
              <w:t>fault_o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Alignment/access/bus fault</w:t>
            </w:r>
          </w:p>
        </w:tc>
      </w:tr>
      <w:tr>
        <w:tc>
          <w:tcPr>
            <w:tcW w:type="dxa" w:w="2592"/>
          </w:tcPr>
          <w:p>
            <w:r>
              <w:t>complete_o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bundle</w:t>
            </w:r>
          </w:p>
        </w:tc>
        <w:tc>
          <w:tcPr>
            <w:tcW w:type="dxa" w:w="2592"/>
          </w:tcPr>
          <w:p>
            <w:r>
              <w:t>Age-tagged completion</w:t>
            </w:r>
          </w:p>
        </w:tc>
      </w:tr>
    </w:tbl>
    <w:p>
      <w:pPr>
        <w:pStyle w:val="Heading1"/>
      </w:pPr>
      <w:r>
        <w:t>3. Address Generation</w:t>
      </w:r>
    </w:p>
    <w:p>
      <w:r>
        <w:rPr>
          <w:rFonts w:ascii="Liberation Mono" w:hAnsi="Liberation Mono"/>
          <w:sz w:val="17"/>
        </w:rPr>
        <w:t>effective_address = (base + sign_extend(offset)) mod 2^32</w:t>
      </w:r>
    </w:p>
    <w:p>
      <w:pPr>
        <w:pStyle w:val="ListBullet"/>
      </w:pPr>
      <w:r>
        <w:t>SP/PC sources are ordinary 32-bit addresses.</w:t>
      </w:r>
    </w:p>
    <w:p>
      <w:pPr>
        <w:pStyle w:val="ListBullet"/>
      </w:pPr>
      <w:r>
        <w:t>Paired-64 data width does not create a 64-bit address space.</w:t>
      </w:r>
    </w:p>
    <w:p>
      <w:pPr>
        <w:pStyle w:val="ListBullet"/>
      </w:pPr>
      <w:r>
        <w:t>Pair loads/stores require 8-byte alignment in portable ABI code.</w:t>
      </w:r>
    </w:p>
    <w:p>
      <w:pPr>
        <w:pStyle w:val="ListBullet"/>
      </w:pPr>
      <w:r>
        <w:t>Unaligned support is profile-defined; baseline may trap to ASC.</w:t>
      </w:r>
    </w:p>
    <w:p>
      <w:pPr>
        <w:pStyle w:val="Heading1"/>
      </w:pPr>
      <w:r>
        <w:t>4. Memory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Class</w:t>
            </w:r>
          </w:p>
        </w:tc>
        <w:tc>
          <w:tcPr>
            <w:tcW w:type="dxa" w:w="3456"/>
          </w:tcPr>
          <w:p>
            <w:r>
              <w:t>Ordering</w:t>
            </w:r>
          </w:p>
        </w:tc>
        <w:tc>
          <w:tcPr>
            <w:tcW w:type="dxa" w:w="3456"/>
          </w:tcPr>
          <w:p>
            <w:r>
              <w:t>Speculation</w:t>
            </w:r>
          </w:p>
        </w:tc>
      </w:tr>
      <w:tr>
        <w:tc>
          <w:tcPr>
            <w:tcW w:type="dxa" w:w="3456"/>
          </w:tcPr>
          <w:p>
            <w:r>
              <w:t>TCM/SRAM normal</w:t>
            </w:r>
          </w:p>
        </w:tc>
        <w:tc>
          <w:tcPr>
            <w:tcW w:type="dxa" w:w="3456"/>
          </w:tcPr>
          <w:p>
            <w:r>
              <w:t>Stores ordered; loads conservative</w:t>
            </w:r>
          </w:p>
        </w:tc>
        <w:tc>
          <w:tcPr>
            <w:tcW w:type="dxa" w:w="3456"/>
          </w:tcPr>
          <w:p>
            <w:r>
              <w:t>No load-over-store disambiguation baseline</w:t>
            </w:r>
          </w:p>
        </w:tc>
      </w:tr>
      <w:tr>
        <w:tc>
          <w:tcPr>
            <w:tcW w:type="dxa" w:w="3456"/>
          </w:tcPr>
          <w:p>
            <w:r>
              <w:t>External normal</w:t>
            </w:r>
          </w:p>
        </w:tc>
        <w:tc>
          <w:tcPr>
            <w:tcW w:type="dxa" w:w="3456"/>
          </w:tcPr>
          <w:p>
            <w:r>
              <w:t>Same architectural order; may wait</w:t>
            </w:r>
          </w:p>
        </w:tc>
        <w:tc>
          <w:tcPr>
            <w:tcW w:type="dxa" w:w="3456"/>
          </w:tcPr>
          <w:p>
            <w:r>
              <w:t>Outstanding request scoreboarded</w:t>
            </w:r>
          </w:p>
        </w:tc>
      </w:tr>
      <w:tr>
        <w:tc>
          <w:tcPr>
            <w:tcW w:type="dxa" w:w="3456"/>
          </w:tcPr>
          <w:p>
            <w:r>
              <w:t>MMIO/device</w:t>
            </w:r>
          </w:p>
        </w:tc>
        <w:tc>
          <w:tcPr>
            <w:tcW w:type="dxa" w:w="3456"/>
          </w:tcPr>
          <w:p>
            <w:r>
              <w:t>Strongly ordered</w:t>
            </w:r>
          </w:p>
        </w:tc>
        <w:tc>
          <w:tcPr>
            <w:tcW w:type="dxa" w:w="3456"/>
          </w:tcPr>
          <w:p>
            <w:r>
              <w:t>Never speculative</w:t>
            </w:r>
          </w:p>
        </w:tc>
      </w:tr>
      <w:tr>
        <w:tc>
          <w:tcPr>
            <w:tcW w:type="dxa" w:w="3456"/>
          </w:tcPr>
          <w:p>
            <w:r>
              <w:t>Instruction synchronization</w:t>
            </w:r>
          </w:p>
        </w:tc>
        <w:tc>
          <w:tcPr>
            <w:tcW w:type="dxa" w:w="3456"/>
          </w:tcPr>
          <w:p>
            <w:r>
              <w:t>Explicit barrier after executable writes</w:t>
            </w:r>
          </w:p>
        </w:tc>
        <w:tc>
          <w:tcPr>
            <w:tcW w:type="dxa" w:w="3456"/>
          </w:tcPr>
          <w:p>
            <w:r>
              <w:t>Required</w:t>
            </w:r>
          </w:p>
        </w:tc>
      </w:tr>
    </w:tbl>
    <w:p>
      <w:pPr>
        <w:pStyle w:val="Heading1"/>
      </w:pPr>
      <w:r>
        <w:t>5. Bank Selection</w:t>
      </w:r>
    </w:p>
    <w:p>
      <w:pPr>
        <w:pStyle w:val="ListBullet"/>
      </w:pPr>
      <w:r>
        <w:t>General SRAM interleaves at native 16-bit word granularity.</w:t>
      </w:r>
    </w:p>
    <w:p>
      <w:pPr>
        <w:pStyle w:val="ListBullet"/>
      </w:pPr>
      <w:r>
        <w:t>LSU presents address and byte strobes; fabric selects bank.</w:t>
      </w:r>
    </w:p>
    <w:p>
      <w:pPr>
        <w:pStyle w:val="ListBullet"/>
      </w:pPr>
      <w:r>
        <w:t>Bank conflicts stall or serialize deterministically.</w:t>
      </w:r>
    </w:p>
    <w:p>
      <w:pPr>
        <w:pStyle w:val="ListBullet"/>
      </w:pPr>
      <w:r>
        <w:t>DMA and streams arbitrate through the fabric; CPU retirement-critical traffic has bounded service.</w:t>
      </w:r>
    </w:p>
    <w:p>
      <w:pPr>
        <w:pStyle w:val="Heading1"/>
      </w:pPr>
      <w:r>
        <w:t>6. Store Commit Rule</w:t>
      </w:r>
    </w:p>
    <w:p>
      <w:r>
        <w:t>A store may not become externally visible until it reaches its architectural retirement point. MMIO writes are never canceled after acceptance.</w:t>
      </w:r>
    </w:p>
    <w:p>
      <w:pPr>
        <w:pStyle w:val="Heading1"/>
      </w:pPr>
      <w:r>
        <w:t>7. Assertions</w:t>
      </w:r>
    </w:p>
    <w:p>
      <w:pPr>
        <w:pStyle w:val="ListBullet"/>
      </w:pPr>
      <w:r>
        <w:t>No duplicate store after interrupt or branch recovery.</w:t>
      </w:r>
    </w:p>
    <w:p>
      <w:pPr>
        <w:pStyle w:val="ListBullet"/>
      </w:pPr>
      <w:r>
        <w:t>MMIO order matches program order.</w:t>
      </w:r>
    </w:p>
    <w:p>
      <w:pPr>
        <w:pStyle w:val="ListBullet"/>
      </w:pPr>
      <w:r>
        <w:t>Pair load becomes visible atomically.</w:t>
      </w:r>
    </w:p>
    <w:p>
      <w:pPr>
        <w:pStyle w:val="ListBullet"/>
      </w:pPr>
      <w:r>
        <w:t>Faulting load/store produces no partial architectural destination update.</w:t>
      </w:r>
    </w:p>
    <w:p>
      <w:pPr>
        <w:pStyle w:val="ListBullet"/>
      </w:pPr>
      <w:r>
        <w:t>Byte strobes match width and address.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