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AUR-RTL-002I Memory Fabric</w:t>
      </w:r>
    </w:p>
    <w:p>
      <w:pPr>
        <w:jc w:val="center"/>
      </w:pPr>
      <w:r>
        <w:rPr>
          <w:i/>
          <w:sz w:val="20"/>
        </w:rPr>
        <w:t>Implementation-Ready RTL Blueprint v1.2</w:t>
      </w:r>
    </w:p>
    <w:p>
      <w:pPr>
        <w:pStyle w:val="Heading1"/>
      </w:pPr>
      <w:r>
        <w:t>1. Purpose</w:t>
      </w:r>
    </w:p>
    <w:p>
      <w:r>
        <w:t>Arbitrate instruction fetch, LSU, Q0/Q1, DMA, TCM, banked SRAM, MMIO, and external-memory transactions with deterministic ordering and bounded service.</w:t>
      </w:r>
    </w:p>
    <w:p>
      <w:pPr>
        <w:pStyle w:val="Heading1"/>
      </w:pPr>
      <w:r>
        <w:t>2. Masters and Slaves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Type</w:t>
            </w:r>
          </w:p>
        </w:tc>
        <w:tc>
          <w:tcPr>
            <w:tcW w:type="dxa" w:w="5184"/>
          </w:tcPr>
          <w:p>
            <w:r>
              <w:t>Interfaces</w:t>
            </w:r>
          </w:p>
        </w:tc>
      </w:tr>
      <w:tr>
        <w:tc>
          <w:tcPr>
            <w:tcW w:type="dxa" w:w="5184"/>
          </w:tcPr>
          <w:p>
            <w:r>
              <w:t>Masters</w:t>
            </w:r>
          </w:p>
        </w:tc>
        <w:tc>
          <w:tcPr>
            <w:tcW w:type="dxa" w:w="5184"/>
          </w:tcPr>
          <w:p>
            <w:r>
              <w:t>IF, LSU, Q0, Q1, DMA channels, debug</w:t>
            </w:r>
          </w:p>
        </w:tc>
      </w:tr>
      <w:tr>
        <w:tc>
          <w:tcPr>
            <w:tcW w:type="dxa" w:w="5184"/>
          </w:tcPr>
          <w:p>
            <w:r>
              <w:t>Slaves</w:t>
            </w:r>
          </w:p>
        </w:tc>
        <w:tc>
          <w:tcPr>
            <w:tcW w:type="dxa" w:w="5184"/>
          </w:tcPr>
          <w:p>
            <w:r>
              <w:t>ITCM, DTCM, SRAM bank 0/1, MMIO, external SRAM/flash/DRAM</w:t>
            </w:r>
          </w:p>
        </w:tc>
      </w:tr>
    </w:tbl>
    <w:p>
      <w:pPr>
        <w:pStyle w:val="Heading1"/>
      </w:pPr>
      <w:r>
        <w:t>3. Request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Field</w:t>
            </w:r>
          </w:p>
        </w:tc>
        <w:tc>
          <w:tcPr>
            <w:tcW w:type="dxa" w:w="3456"/>
          </w:tcPr>
          <w:p>
            <w:r>
              <w:t>Width</w:t>
            </w:r>
          </w:p>
        </w:tc>
        <w:tc>
          <w:tcPr>
            <w:tcW w:type="dxa" w:w="3456"/>
          </w:tcPr>
          <w:p>
            <w:r>
              <w:t>Meaning</w:t>
            </w:r>
          </w:p>
        </w:tc>
      </w:tr>
      <w:tr>
        <w:tc>
          <w:tcPr>
            <w:tcW w:type="dxa" w:w="3456"/>
          </w:tcPr>
          <w:p>
            <w:r>
              <w:t>valid</w:t>
            </w:r>
          </w:p>
        </w:tc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Request valid</w:t>
            </w:r>
          </w:p>
        </w:tc>
      </w:tr>
      <w:tr>
        <w:tc>
          <w:tcPr>
            <w:tcW w:type="dxa" w:w="3456"/>
          </w:tcPr>
          <w:p>
            <w:r>
              <w:t>master_id</w:t>
            </w:r>
          </w:p>
        </w:tc>
        <w:tc>
          <w:tcPr>
            <w:tcW w:type="dxa" w:w="3456"/>
          </w:tcPr>
          <w:p>
            <w:r>
              <w:t>enum</w:t>
            </w:r>
          </w:p>
        </w:tc>
        <w:tc>
          <w:tcPr>
            <w:tcW w:type="dxa" w:w="3456"/>
          </w:tcPr>
          <w:p>
            <w:r>
              <w:t>Origin</w:t>
            </w:r>
          </w:p>
        </w:tc>
      </w:tr>
      <w:tr>
        <w:tc>
          <w:tcPr>
            <w:tcW w:type="dxa" w:w="3456"/>
          </w:tcPr>
          <w:p>
            <w:r>
              <w:t>address</w:t>
            </w:r>
          </w:p>
        </w:tc>
        <w:tc>
          <w:tcPr>
            <w:tcW w:type="dxa" w:w="3456"/>
          </w:tcPr>
          <w:p>
            <w:r>
              <w:t>32</w:t>
            </w:r>
          </w:p>
        </w:tc>
        <w:tc>
          <w:tcPr>
            <w:tcW w:type="dxa" w:w="3456"/>
          </w:tcPr>
          <w:p>
            <w:r>
              <w:t>Byte address</w:t>
            </w:r>
          </w:p>
        </w:tc>
      </w:tr>
      <w:tr>
        <w:tc>
          <w:tcPr>
            <w:tcW w:type="dxa" w:w="3456"/>
          </w:tcPr>
          <w:p>
            <w:r>
              <w:t>write</w:t>
            </w:r>
          </w:p>
        </w:tc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Write/read</w:t>
            </w:r>
          </w:p>
        </w:tc>
      </w:tr>
      <w:tr>
        <w:tc>
          <w:tcPr>
            <w:tcW w:type="dxa" w:w="3456"/>
          </w:tcPr>
          <w:p>
            <w:r>
              <w:t>wdata</w:t>
            </w:r>
          </w:p>
        </w:tc>
        <w:tc>
          <w:tcPr>
            <w:tcW w:type="dxa" w:w="3456"/>
          </w:tcPr>
          <w:p>
            <w:r>
              <w:t>64 max</w:t>
            </w:r>
          </w:p>
        </w:tc>
        <w:tc>
          <w:tcPr>
            <w:tcW w:type="dxa" w:w="3456"/>
          </w:tcPr>
          <w:p>
            <w:r>
              <w:t>Write payload</w:t>
            </w:r>
          </w:p>
        </w:tc>
      </w:tr>
      <w:tr>
        <w:tc>
          <w:tcPr>
            <w:tcW w:type="dxa" w:w="3456"/>
          </w:tcPr>
          <w:p>
            <w:r>
              <w:t>wstrb</w:t>
            </w:r>
          </w:p>
        </w:tc>
        <w:tc>
          <w:tcPr>
            <w:tcW w:type="dxa" w:w="3456"/>
          </w:tcPr>
          <w:p>
            <w:r>
              <w:t>8 max</w:t>
            </w:r>
          </w:p>
        </w:tc>
        <w:tc>
          <w:tcPr>
            <w:tcW w:type="dxa" w:w="3456"/>
          </w:tcPr>
          <w:p>
            <w:r>
              <w:t>Byte strobes</w:t>
            </w:r>
          </w:p>
        </w:tc>
      </w:tr>
      <w:tr>
        <w:tc>
          <w:tcPr>
            <w:tcW w:type="dxa" w:w="3456"/>
          </w:tcPr>
          <w:p>
            <w:r>
              <w:t>size</w:t>
            </w:r>
          </w:p>
        </w:tc>
        <w:tc>
          <w:tcPr>
            <w:tcW w:type="dxa" w:w="3456"/>
          </w:tcPr>
          <w:p>
            <w:r>
              <w:t>3</w:t>
            </w:r>
          </w:p>
        </w:tc>
        <w:tc>
          <w:tcPr>
            <w:tcW w:type="dxa" w:w="3456"/>
          </w:tcPr>
          <w:p>
            <w:r>
              <w:t>Transfer width</w:t>
            </w:r>
          </w:p>
        </w:tc>
      </w:tr>
      <w:tr>
        <w:tc>
          <w:tcPr>
            <w:tcW w:type="dxa" w:w="3456"/>
          </w:tcPr>
          <w:p>
            <w:r>
              <w:t>device</w:t>
            </w:r>
          </w:p>
        </w:tc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Strong-order attribute</w:t>
            </w:r>
          </w:p>
        </w:tc>
      </w:tr>
      <w:tr>
        <w:tc>
          <w:tcPr>
            <w:tcW w:type="dxa" w:w="3456"/>
          </w:tcPr>
          <w:p>
            <w:r>
              <w:t>age</w:t>
            </w:r>
          </w:p>
        </w:tc>
        <w:tc>
          <w:tcPr>
            <w:tcW w:type="dxa" w:w="3456"/>
          </w:tcPr>
          <w:p>
            <w:r>
              <w:t>tag</w:t>
            </w:r>
          </w:p>
        </w:tc>
        <w:tc>
          <w:tcPr>
            <w:tcW w:type="dxa" w:w="3456"/>
          </w:tcPr>
          <w:p>
            <w:r>
              <w:t>Retirement/completion tag</w:t>
            </w:r>
          </w:p>
        </w:tc>
      </w:tr>
    </w:tbl>
    <w:p>
      <w:pPr>
        <w:pStyle w:val="Heading1"/>
      </w:pPr>
      <w:r>
        <w:t>4. Arbitration Policy</w:t>
      </w:r>
    </w:p>
    <w:p>
      <w:pPr>
        <w:pStyle w:val="ListBullet"/>
      </w:pPr>
      <w:r>
        <w:t>TCM requests use dedicated paths where implemented.</w:t>
      </w:r>
    </w:p>
    <w:p>
      <w:pPr>
        <w:pStyle w:val="ListBullet"/>
      </w:pPr>
      <w:r>
        <w:t>CPU retirement-critical requests have bounded priority.</w:t>
      </w:r>
    </w:p>
    <w:p>
      <w:pPr>
        <w:pStyle w:val="ListBullet"/>
      </w:pPr>
      <w:r>
        <w:t>Stream refill may receive deterministic reservation slots.</w:t>
      </w:r>
    </w:p>
    <w:p>
      <w:pPr>
        <w:pStyle w:val="ListBullet"/>
      </w:pPr>
      <w:r>
        <w:t>DMA receives remaining burst opportunities but cannot starve CPU/streams.</w:t>
      </w:r>
    </w:p>
    <w:p>
      <w:pPr>
        <w:pStyle w:val="ListBullet"/>
      </w:pPr>
      <w:r>
        <w:t>MMIO is non-bursting and strongly ordered.</w:t>
      </w:r>
    </w:p>
    <w:p>
      <w:pPr>
        <w:pStyle w:val="ListBullet"/>
      </w:pPr>
      <w:r>
        <w:t>Arbitration policy is fixed or privileged-configured and must be documented.</w:t>
      </w:r>
    </w:p>
    <w:p>
      <w:pPr>
        <w:pStyle w:val="Heading1"/>
      </w:pPr>
      <w:r>
        <w:t>5. SRAM Banking</w:t>
      </w:r>
    </w:p>
    <w:p>
      <w:pPr>
        <w:pStyle w:val="ListBullet"/>
      </w:pPr>
      <w:r>
        <w:t>Bank selection uses native 16-bit word interleaving.</w:t>
      </w:r>
    </w:p>
    <w:p>
      <w:pPr>
        <w:pStyle w:val="ListBullet"/>
      </w:pPr>
      <w:r>
        <w:t>Two independent banks permit concurrent accesses when addresses select different banks.</w:t>
      </w:r>
    </w:p>
    <w:p>
      <w:pPr>
        <w:pStyle w:val="ListBullet"/>
      </w:pPr>
      <w:r>
        <w:t>Same-bank conflicts serialize deterministically.</w:t>
      </w:r>
    </w:p>
    <w:p>
      <w:pPr>
        <w:pStyle w:val="ListBullet"/>
      </w:pPr>
      <w:r>
        <w:t>Instruction fetch and data access may proceed concurrently if mapped to different banks or dedicated TCM.</w:t>
      </w:r>
    </w:p>
    <w:p>
      <w:pPr>
        <w:pStyle w:val="Heading1"/>
      </w:pPr>
      <w:r>
        <w:t>6. Response Rules</w:t>
      </w:r>
    </w:p>
    <w:p>
      <w:pPr>
        <w:pStyle w:val="ListBullet"/>
      </w:pPr>
      <w:r>
        <w:t>Responses return master ID, age tag, data, ready and fault.</w:t>
      </w:r>
    </w:p>
    <w:p>
      <w:pPr>
        <w:pStyle w:val="ListBullet"/>
      </w:pPr>
      <w:r>
        <w:t>Responses may complete out of order only if the requesting master supports tags.</w:t>
      </w:r>
    </w:p>
    <w:p>
      <w:pPr>
        <w:pStyle w:val="ListBullet"/>
      </w:pPr>
      <w:r>
        <w:t>MMIO responses preserve issue order.</w:t>
      </w:r>
    </w:p>
    <w:p>
      <w:pPr>
        <w:pStyle w:val="ListBullet"/>
      </w:pPr>
      <w:r>
        <w:t>External ready/acknowledge wait states are absorbed without changing architectural order.</w:t>
      </w:r>
    </w:p>
    <w:p>
      <w:pPr>
        <w:pStyle w:val="Heading1"/>
      </w:pPr>
      <w:r>
        <w:t>7. Assertions</w:t>
      </w:r>
    </w:p>
    <w:p>
      <w:pPr>
        <w:pStyle w:val="ListBullet"/>
      </w:pPr>
      <w:r>
        <w:t>Every accepted request receives exactly one response or documented cancellation.</w:t>
      </w:r>
    </w:p>
    <w:p>
      <w:pPr>
        <w:pStyle w:val="ListBullet"/>
      </w:pPr>
      <w:r>
        <w:t>No master is starved beyond configured bound.</w:t>
      </w:r>
    </w:p>
    <w:p>
      <w:pPr>
        <w:pStyle w:val="ListBullet"/>
      </w:pPr>
      <w:r>
        <w:t>MMIO order equals request order.</w:t>
      </w:r>
    </w:p>
    <w:p>
      <w:pPr>
        <w:pStyle w:val="ListBullet"/>
      </w:pPr>
      <w:r>
        <w:t>Same-bank collisions never corrupt data.</w:t>
      </w:r>
    </w:p>
    <w:p>
      <w:pPr>
        <w:pStyle w:val="ListBullet"/>
      </w:pPr>
      <w:r>
        <w:t>Fault response does not include stale data as valid.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