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AUR-RTL-002J Commit &amp; Retirement</w:t>
      </w:r>
    </w:p>
    <w:p>
      <w:pPr>
        <w:jc w:val="center"/>
      </w:pPr>
      <w:r>
        <w:rPr>
          <w:i/>
          <w:sz w:val="20"/>
        </w:rPr>
        <w:t>Implementation-Ready RTL Blueprint v1.2</w:t>
      </w:r>
    </w:p>
    <w:p>
      <w:pPr>
        <w:pStyle w:val="Heading1"/>
      </w:pPr>
      <w:r>
        <w:t>1. Purpose</w:t>
      </w:r>
    </w:p>
    <w:p>
      <w:r>
        <w:t>Retire up to two instructions per cycle in program order, commit architectural results, preserve precise exceptions, and coordinate flush, branch recovery, and interrupt boundaries.</w:t>
      </w:r>
    </w:p>
    <w:p>
      <w:pPr>
        <w:pStyle w:val="Heading1"/>
      </w:pPr>
      <w:r>
        <w:t>2. Completion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valid</w:t>
            </w:r>
          </w:p>
        </w:tc>
        <w:tc>
          <w:tcPr>
            <w:tcW w:type="dxa" w:w="5184"/>
          </w:tcPr>
          <w:p>
            <w:r>
              <w:t>Record exists</w:t>
            </w:r>
          </w:p>
        </w:tc>
      </w:tr>
      <w:tr>
        <w:tc>
          <w:tcPr>
            <w:tcW w:type="dxa" w:w="5184"/>
          </w:tcPr>
          <w:p>
            <w:r>
              <w:t>age/PC</w:t>
            </w:r>
          </w:p>
        </w:tc>
        <w:tc>
          <w:tcPr>
            <w:tcW w:type="dxa" w:w="5184"/>
          </w:tcPr>
          <w:p>
            <w:r>
              <w:t>Program-order identity</w:t>
            </w:r>
          </w:p>
        </w:tc>
      </w:tr>
      <w:tr>
        <w:tc>
          <w:tcPr>
            <w:tcW w:type="dxa" w:w="5184"/>
          </w:tcPr>
          <w:p>
            <w:r>
              <w:t>destination mask</w:t>
            </w:r>
          </w:p>
        </w:tc>
        <w:tc>
          <w:tcPr>
            <w:tcW w:type="dxa" w:w="5184"/>
          </w:tcPr>
          <w:p>
            <w:r>
              <w:t>Registers/flags/accumulator/stream state</w:t>
            </w:r>
          </w:p>
        </w:tc>
      </w:tr>
      <w:tr>
        <w:tc>
          <w:tcPr>
            <w:tcW w:type="dxa" w:w="5184"/>
          </w:tcPr>
          <w:p>
            <w:r>
              <w:t>result</w:t>
            </w:r>
          </w:p>
        </w:tc>
        <w:tc>
          <w:tcPr>
            <w:tcW w:type="dxa" w:w="5184"/>
          </w:tcPr>
          <w:p>
            <w:r>
              <w:t>Data or pointer to unit result</w:t>
            </w:r>
          </w:p>
        </w:tc>
      </w:tr>
      <w:tr>
        <w:tc>
          <w:tcPr>
            <w:tcW w:type="dxa" w:w="5184"/>
          </w:tcPr>
          <w:p>
            <w:r>
              <w:t>fault</w:t>
            </w:r>
          </w:p>
        </w:tc>
        <w:tc>
          <w:tcPr>
            <w:tcW w:type="dxa" w:w="5184"/>
          </w:tcPr>
          <w:p>
            <w:r>
              <w:t>Exception type and address</w:t>
            </w:r>
          </w:p>
        </w:tc>
      </w:tr>
      <w:tr>
        <w:tc>
          <w:tcPr>
            <w:tcW w:type="dxa" w:w="5184"/>
          </w:tcPr>
          <w:p>
            <w:r>
              <w:t>store_commit</w:t>
            </w:r>
          </w:p>
        </w:tc>
        <w:tc>
          <w:tcPr>
            <w:tcW w:type="dxa" w:w="5184"/>
          </w:tcPr>
          <w:p>
            <w:r>
              <w:t>Pending externally visible store</w:t>
            </w:r>
          </w:p>
        </w:tc>
      </w:tr>
      <w:tr>
        <w:tc>
          <w:tcPr>
            <w:tcW w:type="dxa" w:w="5184"/>
          </w:tcPr>
          <w:p>
            <w:r>
              <w:t>branch_result</w:t>
            </w:r>
          </w:p>
        </w:tc>
        <w:tc>
          <w:tcPr>
            <w:tcW w:type="dxa" w:w="5184"/>
          </w:tcPr>
          <w:p>
            <w:r>
              <w:t>Resolved target and prediction status</w:t>
            </w:r>
          </w:p>
        </w:tc>
      </w:tr>
      <w:tr>
        <w:tc>
          <w:tcPr>
            <w:tcW w:type="dxa" w:w="5184"/>
          </w:tcPr>
          <w:p>
            <w:r>
              <w:t>complete</w:t>
            </w:r>
          </w:p>
        </w:tc>
        <w:tc>
          <w:tcPr>
            <w:tcW w:type="dxa" w:w="5184"/>
          </w:tcPr>
          <w:p>
            <w:r>
              <w:t>Execution finished</w:t>
            </w:r>
          </w:p>
        </w:tc>
      </w:tr>
    </w:tbl>
    <w:p>
      <w:pPr>
        <w:pStyle w:val="Heading1"/>
      </w:pPr>
      <w:r>
        <w:t>3. Retirement Algorithm</w:t>
      </w:r>
    </w:p>
    <w:p>
      <w:r>
        <w:rPr>
          <w:rFonts w:ascii="Liberation Mono" w:hAnsi="Liberation Mono"/>
          <w:sz w:val="17"/>
        </w:rPr>
        <w:br/>
        <w:t>candidate0 = oldest architectural instruction</w:t>
        <w:br/>
        <w:t>candidate1 = next-oldest instruction</w:t>
        <w:br/>
        <w:t>if candidate0.complete and no older fault:</w:t>
        <w:br/>
        <w:t xml:space="preserve">    commit candidate0</w:t>
        <w:br/>
        <w:t xml:space="preserve">    if candidate1.complete and no conflict with commit resources:</w:t>
        <w:br/>
        <w:t xml:space="preserve">        commit candidate1</w:t>
        <w:br/>
        <w:t>if candidate0.fault:</w:t>
        <w:br/>
        <w:t xml:space="preserve">    commit no younger instruction</w:t>
        <w:br/>
        <w:t xml:space="preserve">    save precise PC/PSR</w:t>
        <w:br/>
        <w:t xml:space="preserve">    flush younger work</w:t>
        <w:br/>
      </w:r>
    </w:p>
    <w:p>
      <w:pPr>
        <w:pStyle w:val="Heading1"/>
      </w:pPr>
      <w:r>
        <w:t>4. Store Rule</w:t>
      </w:r>
    </w:p>
    <w:p>
      <w:pPr>
        <w:pStyle w:val="ListBullet"/>
      </w:pPr>
      <w:r>
        <w:t>Stores become externally visible only when their instruction reaches retirement.</w:t>
      </w:r>
    </w:p>
    <w:p>
      <w:pPr>
        <w:pStyle w:val="ListBullet"/>
      </w:pPr>
      <w:r>
        <w:t>MMIO writes are accepted only when they can no longer be squashed.</w:t>
      </w:r>
    </w:p>
    <w:p>
      <w:pPr>
        <w:pStyle w:val="ListBullet"/>
      </w:pPr>
      <w:r>
        <w:t>Once accepted, a visible store is never replayed after interrupt or branch recovery.</w:t>
      </w:r>
    </w:p>
    <w:p>
      <w:pPr>
        <w:pStyle w:val="Heading1"/>
      </w:pPr>
      <w:r>
        <w:t>5. Interrupt Boundary</w:t>
      </w:r>
    </w:p>
    <w:p>
      <w:pPr>
        <w:pStyle w:val="ListBullet"/>
      </w:pPr>
      <w:r>
        <w:t>Interrupt recognition occurs after completing the current retirement group.</w:t>
      </w:r>
    </w:p>
    <w:p>
      <w:pPr>
        <w:pStyle w:val="ListBullet"/>
      </w:pPr>
      <w:r>
        <w:t>Older non-abortable operations must finish or reach restartable state.</w:t>
      </w:r>
    </w:p>
    <w:p>
      <w:pPr>
        <w:pStyle w:val="ListBullet"/>
      </w:pPr>
      <w:r>
        <w:t>Younger window entries and noncommitted completions are flushed.</w:t>
      </w:r>
    </w:p>
    <w:p>
      <w:pPr>
        <w:pStyle w:val="ListBullet"/>
      </w:pPr>
      <w:r>
        <w:t>Hardware saves at least PC and PSR before vectoring.</w:t>
      </w:r>
    </w:p>
    <w:p>
      <w:pPr>
        <w:pStyle w:val="Heading1"/>
      </w:pPr>
      <w:r>
        <w:t>6. Assertions</w:t>
      </w:r>
    </w:p>
    <w:p>
      <w:pPr>
        <w:pStyle w:val="ListBullet"/>
      </w:pPr>
      <w:r>
        <w:t>Architectural retirement order matches program order.</w:t>
      </w:r>
    </w:p>
    <w:p>
      <w:pPr>
        <w:pStyle w:val="ListBullet"/>
      </w:pPr>
      <w:r>
        <w:t>No younger instruction retires after an older fault.</w:t>
      </w:r>
    </w:p>
    <w:p>
      <w:pPr>
        <w:pStyle w:val="ListBullet"/>
      </w:pPr>
      <w:r>
        <w:t>At most two instructions retire per cycle.</w:t>
      </w:r>
    </w:p>
    <w:p>
      <w:pPr>
        <w:pStyle w:val="ListBullet"/>
      </w:pPr>
      <w:r>
        <w:t>Squashed instruction results never update architectural state.</w:t>
      </w:r>
    </w:p>
    <w:p>
      <w:pPr>
        <w:pStyle w:val="ListBullet"/>
      </w:pPr>
      <w:r>
        <w:t>Every committed store corresponds to exactly one retired store instruction.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