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AUR-RTL-002L Debug &amp; Trace</w:t>
      </w:r>
    </w:p>
    <w:p>
      <w:pPr>
        <w:jc w:val="center"/>
      </w:pPr>
      <w:r>
        <w:rPr>
          <w:i/>
          <w:sz w:val="20"/>
        </w:rPr>
        <w:t>Implementation-Ready RTL Blueprint v1.2</w:t>
      </w:r>
    </w:p>
    <w:p>
      <w:pPr>
        <w:pStyle w:val="Heading1"/>
      </w:pPr>
      <w:r>
        <w:t>1. Purpose</w:t>
      </w:r>
    </w:p>
    <w:p>
      <w:r>
        <w:t>Provide nonintrusive architectural debug, breakpoints, single-step, trace visibility, and performance-observation hooks without changing normal execution semantics.</w:t>
      </w:r>
    </w:p>
    <w:p>
      <w:pPr>
        <w:pStyle w:val="Heading1"/>
      </w:pPr>
      <w:r>
        <w:t>2. Debug Features</w:t>
      </w:r>
    </w:p>
    <w:p>
      <w:pPr>
        <w:pStyle w:val="ListBullet"/>
      </w:pPr>
      <w:r>
        <w:t>Halt/resume at retirement boundary.</w:t>
      </w:r>
    </w:p>
    <w:p>
      <w:pPr>
        <w:pStyle w:val="ListBullet"/>
      </w:pPr>
      <w:r>
        <w:t>Single-step one architectural instruction or retirement group.</w:t>
      </w:r>
    </w:p>
    <w:p>
      <w:pPr>
        <w:pStyle w:val="ListBullet"/>
      </w:pPr>
      <w:r>
        <w:t>Instruction-address breakpoints.</w:t>
      </w:r>
    </w:p>
    <w:p>
      <w:pPr>
        <w:pStyle w:val="ListBullet"/>
      </w:pPr>
      <w:r>
        <w:t>Optional data watchpoints.</w:t>
      </w:r>
    </w:p>
    <w:p>
      <w:pPr>
        <w:pStyle w:val="ListBullet"/>
      </w:pPr>
      <w:r>
        <w:t>Read/write GPR, PSR, accumulators, streams and system registers while halted.</w:t>
      </w:r>
    </w:p>
    <w:p>
      <w:pPr>
        <w:pStyle w:val="ListBullet"/>
      </w:pPr>
      <w:r>
        <w:t>Optional trace of issue, completion, retirement, memory and interrupts.</w:t>
      </w:r>
    </w:p>
    <w:p>
      <w:pPr>
        <w:pStyle w:val="Heading1"/>
      </w:pPr>
      <w:r>
        <w:t>3. Trace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Meaning</w:t>
            </w:r>
          </w:p>
        </w:tc>
      </w:tr>
      <w:tr>
        <w:tc>
          <w:tcPr>
            <w:tcW w:type="dxa" w:w="5184"/>
          </w:tcPr>
          <w:p>
            <w:r>
              <w:t>cycle</w:t>
            </w:r>
          </w:p>
        </w:tc>
        <w:tc>
          <w:tcPr>
            <w:tcW w:type="dxa" w:w="5184"/>
          </w:tcPr>
          <w:p>
            <w:r>
              <w:t>Coarse or exact cycle count</w:t>
            </w:r>
          </w:p>
        </w:tc>
      </w:tr>
      <w:tr>
        <w:tc>
          <w:tcPr>
            <w:tcW w:type="dxa" w:w="5184"/>
          </w:tcPr>
          <w:p>
            <w:r>
              <w:t>pc</w:t>
            </w:r>
          </w:p>
        </w:tc>
        <w:tc>
          <w:tcPr>
            <w:tcW w:type="dxa" w:w="5184"/>
          </w:tcPr>
          <w:p>
            <w:r>
              <w:t>Instruction PC</w:t>
            </w:r>
          </w:p>
        </w:tc>
      </w:tr>
      <w:tr>
        <w:tc>
          <w:tcPr>
            <w:tcW w:type="dxa" w:w="5184"/>
          </w:tcPr>
          <w:p>
            <w:r>
              <w:t>opcode</w:t>
            </w:r>
          </w:p>
        </w:tc>
        <w:tc>
          <w:tcPr>
            <w:tcW w:type="dxa" w:w="5184"/>
          </w:tcPr>
          <w:p>
            <w:r>
              <w:t>Decoded instruction</w:t>
            </w:r>
          </w:p>
        </w:tc>
      </w:tr>
      <w:tr>
        <w:tc>
          <w:tcPr>
            <w:tcW w:type="dxa" w:w="5184"/>
          </w:tcPr>
          <w:p>
            <w:r>
              <w:t>issue lanes</w:t>
            </w:r>
          </w:p>
        </w:tc>
        <w:tc>
          <w:tcPr>
            <w:tcW w:type="dxa" w:w="5184"/>
          </w:tcPr>
          <w:p>
            <w:r>
              <w:t>Which instructions issued</w:t>
            </w:r>
          </w:p>
        </w:tc>
      </w:tr>
      <w:tr>
        <w:tc>
          <w:tcPr>
            <w:tcW w:type="dxa" w:w="5184"/>
          </w:tcPr>
          <w:p>
            <w:r>
              <w:t>stall reason</w:t>
            </w:r>
          </w:p>
        </w:tc>
        <w:tc>
          <w:tcPr>
            <w:tcW w:type="dxa" w:w="5184"/>
          </w:tcPr>
          <w:p>
            <w:r>
              <w:t>Dependency/resource/memory</w:t>
            </w:r>
          </w:p>
        </w:tc>
      </w:tr>
      <w:tr>
        <w:tc>
          <w:tcPr>
            <w:tcW w:type="dxa" w:w="5184"/>
          </w:tcPr>
          <w:p>
            <w:r>
              <w:t>writes</w:t>
            </w:r>
          </w:p>
        </w:tc>
        <w:tc>
          <w:tcPr>
            <w:tcW w:type="dxa" w:w="5184"/>
          </w:tcPr>
          <w:p>
            <w:r>
              <w:t>Architectural destinations</w:t>
            </w:r>
          </w:p>
        </w:tc>
      </w:tr>
      <w:tr>
        <w:tc>
          <w:tcPr>
            <w:tcW w:type="dxa" w:w="5184"/>
          </w:tcPr>
          <w:p>
            <w:r>
              <w:t>memory</w:t>
            </w:r>
          </w:p>
        </w:tc>
        <w:tc>
          <w:tcPr>
            <w:tcW w:type="dxa" w:w="5184"/>
          </w:tcPr>
          <w:p>
            <w:r>
              <w:t>Address/data/type</w:t>
            </w:r>
          </w:p>
        </w:tc>
      </w:tr>
      <w:tr>
        <w:tc>
          <w:tcPr>
            <w:tcW w:type="dxa" w:w="5184"/>
          </w:tcPr>
          <w:p>
            <w:r>
              <w:t>event</w:t>
            </w:r>
          </w:p>
        </w:tc>
        <w:tc>
          <w:tcPr>
            <w:tcW w:type="dxa" w:w="5184"/>
          </w:tcPr>
          <w:p>
            <w:r>
              <w:t>Branch, fault, interrupt, DMA/stream</w:t>
            </w:r>
          </w:p>
        </w:tc>
      </w:tr>
    </w:tbl>
    <w:p>
      <w:pPr>
        <w:pStyle w:val="Heading1"/>
      </w:pPr>
      <w:r>
        <w:t>4. Intrusiveness Rules</w:t>
      </w:r>
    </w:p>
    <w:p>
      <w:pPr>
        <w:pStyle w:val="ListBullet"/>
      </w:pPr>
      <w:r>
        <w:t>Disabled debug logic must not affect architectural timing except documented synthesis impact.</w:t>
      </w:r>
    </w:p>
    <w:p>
      <w:pPr>
        <w:pStyle w:val="ListBullet"/>
      </w:pPr>
      <w:r>
        <w:t>Trace overflow may drop records but must not stall the core unless explicitly configured.</w:t>
      </w:r>
    </w:p>
    <w:p>
      <w:pPr>
        <w:pStyle w:val="ListBullet"/>
      </w:pPr>
      <w:r>
        <w:t>Halting waits for precise boundary; externally visible stores are not duplicated.</w:t>
      </w:r>
    </w:p>
    <w:p>
      <w:pPr>
        <w:pStyle w:val="ListBullet"/>
      </w:pPr>
      <w:r>
        <w:t>Debug writes to PC/PSR invalidate prefetched and decoded state.</w:t>
      </w:r>
    </w:p>
    <w:p>
      <w:pPr>
        <w:pStyle w:val="Heading1"/>
      </w:pPr>
      <w:r>
        <w:t>5. Assertions</w:t>
      </w:r>
    </w:p>
    <w:p>
      <w:pPr>
        <w:pStyle w:val="ListBullet"/>
      </w:pPr>
      <w:r>
        <w:t>Single-step retires the requested number of architectural instructions.</w:t>
      </w:r>
    </w:p>
    <w:p>
      <w:pPr>
        <w:pStyle w:val="ListBullet"/>
      </w:pPr>
      <w:r>
        <w:t>Breakpoint halts before executing the matching instruction unless configured after-execute.</w:t>
      </w:r>
    </w:p>
    <w:p>
      <w:pPr>
        <w:pStyle w:val="ListBullet"/>
      </w:pPr>
      <w:r>
        <w:t>Trace records preserve retirement order.</w:t>
      </w:r>
    </w:p>
    <w:p>
      <w:pPr>
        <w:pStyle w:val="ListBullet"/>
      </w:pPr>
      <w:r>
        <w:t>Debug access while running cannot corrupt register file arbitration.</w:t>
      </w:r>
    </w:p>
    <w:p>
      <w:pPr>
        <w:pStyle w:val="ListBullet"/>
      </w:pPr>
      <w:r>
        <w:t>Resume restarts from architecturally visible PC.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