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Aurora Architecture Specification</w:t>
      </w:r>
    </w:p>
    <w:p>
      <w:pPr>
        <w:pStyle w:val="Subtitle"/>
        <w:jc w:val="center"/>
      </w:pPr>
      <w:r>
        <w:t>Phase 1 Frozen Baseline, Revision 1.0</w:t>
      </w:r>
    </w:p>
    <w:p>
      <w:pPr>
        <w:pStyle w:val="Heading1"/>
      </w:pPr>
      <w:r>
        <w:t>1. Mission and scope</w:t>
      </w:r>
    </w:p>
    <w:p>
      <w:r>
        <w:t>DSP-first, MCU-capable; compact code, deterministic throughput, commodity memory, and cost discipline.</w:t>
      </w:r>
    </w:p>
    <w:p>
      <w:pPr>
        <w:pStyle w:val="Heading1"/>
      </w:pPr>
      <w:r>
        <w:t>2. Programming model</w:t>
      </w:r>
    </w:p>
    <w:p>
      <w:r>
        <w:t>16 visible 32-bit registers. R13 SP, R14 LR, R15 PC. R0/R4 stream-capable. 64-bit values in aligned even/odd pairs.</w:t>
      </w:r>
    </w:p>
    <w:p>
      <w:pPr>
        <w:pStyle w:val="Heading1"/>
      </w:pPr>
      <w:r>
        <w:t>3. Data formats</w:t>
      </w:r>
    </w:p>
    <w:p>
      <w:r>
        <w:t>Scalar 32-bit; packed 2x16 and 4x8; 64-bit paired. Little-endian. Streams support 8, 16, and 32 bits only.</w:t>
      </w:r>
    </w:p>
    <w:p>
      <w:pPr>
        <w:pStyle w:val="Heading1"/>
      </w:pPr>
      <w:r>
        <w:t>4. Pipeline</w:t>
      </w:r>
    </w:p>
    <w:p>
      <w:r>
        <w:t>Four stages: IF, ID/RR, EX/MEM, WB/RET. Branches resolve in EX/MEM. In-order retirement and precise exceptions.</w:t>
      </w:r>
    </w:p>
    <w:p>
      <w:pPr>
        <w:pStyle w:val="Heading1"/>
      </w:pPr>
      <w:r>
        <w:t>5. Scoreboard</w:t>
      </w:r>
    </w:p>
    <w:p>
      <w:r>
        <w:t>Focused primarily on variable-latency memory, stream, multiply, divide, and reduction operations. Tracks register, flag, stream, memory-order, and execution-resource hazards. No renaming or dynamic reordering.</w:t>
      </w:r>
    </w:p>
    <w:p>
      <w:pPr>
        <w:pStyle w:val="Heading1"/>
      </w:pPr>
      <w:r>
        <w:t>6. Dual issue</w:t>
      </w:r>
    </w:p>
    <w:p>
      <w:r>
        <w:t>Slot A scalar/control; Slot B DSP/memory/stream. Compiler schedules adjacent independent pairs. Illegal pairs issue singly.</w:t>
      </w:r>
    </w:p>
    <w:p>
      <w:pPr>
        <w:pStyle w:val="Heading1"/>
      </w:pPr>
      <w:r>
        <w:t>7. Arithmetic engine</w:t>
      </w:r>
    </w:p>
    <w:p>
      <w:r>
        <w:t>Shared compressor tree for scalar/packed multiply, MAC/MSUB, dot products, HADD, SAD, and widened accumulation. Comparator path handles min/max.</w:t>
      </w:r>
    </w:p>
    <w:p>
      <w:pPr>
        <w:pStyle w:val="Heading1"/>
      </w:pPr>
      <w:r>
        <w:t>8. Stream subsystem</w:t>
      </w:r>
    </w:p>
    <w:p>
      <w:r>
        <w:t>R0/R4 independent streams with address, signed stride, count, direction, width, status, and 64-bit staging buffer each. Coupled LIFO creates one 128-bit logical buffer.</w:t>
      </w:r>
    </w:p>
    <w:p>
      <w:pPr>
        <w:pStyle w:val="Heading1"/>
      </w:pPr>
      <w:r>
        <w:t>9. Memory subsystem</w:t>
      </w:r>
    </w:p>
    <w:p>
      <w:r>
        <w:t>Two interleaved 32-bit SRAM banks. Word address bit 0 selects bank. Naturally aligned 64-bit data spans both banks. Same-bank conflicts serialize deterministically.</w:t>
      </w:r>
    </w:p>
    <w:p>
      <w:pPr>
        <w:pStyle w:val="Heading1"/>
      </w:pPr>
      <w:r>
        <w:t>10. DMA</w:t>
      </w:r>
    </w:p>
    <w:p>
      <w:r>
        <w:t>At least two channels; 8/16/32-bit elements; signed source and destination stride; memory/peripheral transfers; precise completion/fault state.</w:t>
      </w:r>
    </w:p>
    <w:p>
      <w:pPr>
        <w:pStyle w:val="Heading1"/>
      </w:pPr>
      <w:r>
        <w:t>11. PSR</w:t>
      </w:r>
    </w:p>
    <w:p>
      <w:r>
        <w:t>NZCV, sticky Q, IE, IPL, supervisor, trace, and exception summary. Flags retire in order.</w:t>
      </w:r>
    </w:p>
    <w:p>
      <w:pPr>
        <w:pStyle w:val="Heading1"/>
      </w:pPr>
      <w:r>
        <w:t>12. ABI</w:t>
      </w:r>
    </w:p>
    <w:p>
      <w:r>
        <w:t>R0-R3 arguments, R0 or R0:R1 return, R0-R7/R12 caller-saved, R8-R11 callee-saved, R13 SP, R14 LR, R15 PC. 8-byte call-boundary stack alignment.</w:t>
      </w:r>
    </w:p>
    <w:p>
      <w:pPr>
        <w:pStyle w:val="Heading1"/>
      </w:pPr>
      <w:r>
        <w:t>13. Interrupts</w:t>
      </w:r>
    </w:p>
    <w:p>
      <w:r>
        <w:t>16 priority levels/vectors with multiple sources per vector. Hardware saves PC and PSR; handlers save used registers. Separate privileged interrupt stack.</w:t>
      </w:r>
    </w:p>
    <w:p>
      <w:pPr>
        <w:pStyle w:val="Heading1"/>
      </w:pPr>
      <w:r>
        <w:t>14. External interface</w:t>
      </w:r>
    </w:p>
    <w:p>
      <w:r>
        <w:t>Request/ready and response-valid/ready protocol with byte address, byte enables, data, and fault. Supports SRAM, peripherals, and bridges.</w:t>
      </w:r>
    </w:p>
    <w:p>
      <w:pPr>
        <w:pStyle w:val="Heading1"/>
      </w:pPr>
      <w:r>
        <w:t>15. Baseline implementation profile</w:t>
      </w:r>
    </w:p>
    <w:p>
      <w:r>
        <w:t>32-bit data path; 16-bit instruction fetch; two 32-bit SRAM banks; 8-entry instruction prefetch buffer; two DMA channels; one shared compressor engine; one iterative divider; no caches beyond stream/stack staging and instruction prefetch.</w:t>
      </w:r>
    </w:p>
    <w:p>
      <w:pPr>
        <w:pStyle w:val="Heading1"/>
      </w:pPr>
      <w:r>
        <w:t>16. Compatibility contract</w:t>
      </w:r>
    </w:p>
    <w:p>
      <w:r>
        <w:t>Faster implementations may pipeline or duplicate resources but may not change instruction semantics, precise state, ordering, pair legality baseline, or exception behavior.</w:t>
      </w:r>
    </w:p>
    <w:p>
      <w:pPr>
        <w:pStyle w:val="Heading1"/>
      </w:pPr>
      <w:r>
        <w:t>17. Memory ordering</w:t>
      </w:r>
    </w:p>
    <w:p>
      <w:pPr>
        <w:pStyle w:val="ListBullet"/>
      </w:pPr>
      <w:r>
        <w:t>Scalar instructions retire in order; stores become globally visible in program order.</w:t>
      </w:r>
    </w:p>
    <w:p>
      <w:pPr>
        <w:pStyle w:val="ListBullet"/>
      </w:pPr>
      <w:r>
        <w:t>Each stream and DMA channel is internally ordered.</w:t>
      </w:r>
    </w:p>
    <w:p>
      <w:pPr>
        <w:pStyle w:val="ListBullet"/>
      </w:pPr>
      <w:r>
        <w:t>Independent streams and DMA channels may overlap; SYNC/STRSYNC/DMASYNC establish required cross-agent ordering.</w:t>
      </w:r>
    </w:p>
    <w:p>
      <w:pPr>
        <w:pStyle w:val="ListBullet"/>
      </w:pPr>
      <w:r>
        <w:t>Memory-mapped device accesses are strongly ordered and never prefetched.</w:t>
      </w:r>
    </w:p>
    <w:p>
      <w:pPr>
        <w:pStyle w:val="ListBullet"/>
      </w:pPr>
      <w:r>
        <w:t>Self-modifying or DMA-written code requires ISYNC before execution.</w:t>
      </w:r>
    </w:p>
    <w:p>
      <w:pPr>
        <w:pStyle w:val="Heading1"/>
      </w:pPr>
      <w:r>
        <w:t>18. Fault model</w:t>
      </w:r>
    </w:p>
    <w:p>
      <w:pPr>
        <w:pStyle w:val="ListBullet"/>
      </w:pPr>
      <w:r>
        <w:t>Misaligned 32- or 64-bit baseline accesses fault; implementations may optionally support unaligned accesses only under a documented extension.</w:t>
      </w:r>
    </w:p>
    <w:p>
      <w:pPr>
        <w:pStyle w:val="ListBullet"/>
      </w:pPr>
      <w:r>
        <w:t>Divide by zero, illegal pair bases, unsupported widths/formats, malformed extension groups, protection faults, and bus errors are precise.</w:t>
      </w:r>
    </w:p>
    <w:p>
      <w:pPr>
        <w:pStyle w:val="ListBullet"/>
      </w:pPr>
      <w:r>
        <w:t>A faulting stream access does not advance address or count.</w:t>
      </w:r>
    </w:p>
    <w:p>
      <w:pPr>
        <w:pStyle w:val="ListBullet"/>
      </w:pPr>
      <w:r>
        <w:t>A faulting DMA element remains pending and the channel stops with prior elements committed.</w:t>
      </w:r>
    </w:p>
    <w:p>
      <w:pPr>
        <w:pStyle w:val="Heading1"/>
      </w:pPr>
      <w:r>
        <w:t>19. Frozen versus reserved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  <w:sz w:val="16"/>
              </w:rPr>
              <w:t>Meaning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Frozen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Semantics and compatibility contract are normative for Phase 1.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Reserved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Encoding is unavailable to software and traps; may become a future extension.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Implementation choice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Latency/resource duplication may vary while preserving the baseline contract.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Not claimed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Absolute MHz, area, power, and market superiority await RTL/compiler evidence.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