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v1.2 Compiler, Toolchain and Static Scheduling Specification</w:t>
      </w:r>
    </w:p>
    <w:p>
      <w:r>
        <w:t>This document defines the expected behavior of the compiler, assembler, linker, scheduler, simulator, and debugger for Aurora v1.2.</w:t>
      </w:r>
    </w:p>
    <w:p>
      <w:pPr>
        <w:pStyle w:val="Heading2"/>
      </w:pPr>
      <w:r>
        <w:t>Compiler backend</w:t>
      </w:r>
    </w:p>
    <w:p>
      <w:r>
        <w:t>LLVM/GCC backend, ABI lowering, instruction selection, register allocation, paired-64 support.</w:t>
      </w:r>
    </w:p>
    <w:p>
      <w:pPr>
        <w:pStyle w:val="Heading2"/>
      </w:pPr>
      <w:r>
        <w:t>Register allocation</w:t>
      </w:r>
    </w:p>
    <w:p>
      <w:r>
        <w:t>Exploit L8/L16 upper-lane storage, prefer aligned register pairs, model R13 as conditional LR/GPR, preserve R14/R15.</w:t>
      </w:r>
    </w:p>
    <w:p>
      <w:pPr>
        <w:pStyle w:val="Heading2"/>
      </w:pPr>
      <w:r>
        <w:t>Instruction scheduling</w:t>
      </w:r>
    </w:p>
    <w:p>
      <w:r>
        <w:t>Compiler performs primary scheduling. Hardware four-entry pairing window performs only local pairing repair. Model resource usage rather than fixed issue slots.</w:t>
      </w:r>
    </w:p>
    <w:p>
      <w:pPr>
        <w:pStyle w:val="Heading2"/>
      </w:pPr>
      <w:r>
        <w:t>Dual issue</w:t>
      </w:r>
    </w:p>
    <w:p>
      <w:r>
        <w:t>Emit independent instruction streams; favor shuffle/layout ops as pairing candidates; alternate accumulator use when profitable.</w:t>
      </w:r>
    </w:p>
    <w:p>
      <w:pPr>
        <w:pStyle w:val="Heading2"/>
      </w:pPr>
      <w:r>
        <w:t>Streams</w:t>
      </w:r>
    </w:p>
    <w:p>
      <w:r>
        <w:t>Recognize streaming loops, configure Q0/Q1, generate circular addressing and consume/peek controls.</w:t>
      </w:r>
    </w:p>
    <w:p>
      <w:pPr>
        <w:pStyle w:val="Heading2"/>
      </w:pPr>
      <w:r>
        <w:t>DSP intrinsics</w:t>
      </w:r>
    </w:p>
    <w:p>
      <w:r>
        <w:t>Expose DOT, REDUCE, SAD, PACK, UNPACK, ZIP, UNZIP, MAC, MAS through intrinsics.</w:t>
      </w:r>
    </w:p>
    <w:p>
      <w:pPr>
        <w:pStyle w:val="Heading2"/>
      </w:pPr>
      <w:r>
        <w:t>Assembler</w:t>
      </w:r>
    </w:p>
    <w:p>
      <w:r>
        <w:t>Accept pseudo-ops, paired registers, extension words, and machine-readable ISA database as source of truth.</w:t>
      </w:r>
    </w:p>
    <w:p>
      <w:pPr>
        <w:pStyle w:val="Heading2"/>
      </w:pPr>
      <w:r>
        <w:t>Linker</w:t>
      </w:r>
    </w:p>
    <w:p>
      <w:r>
        <w:t>Support ITCM/DTCM placement, vector placement, boot ROM sections, profile-aware memory maps.</w:t>
      </w:r>
    </w:p>
    <w:p>
      <w:pPr>
        <w:pStyle w:val="Heading2"/>
      </w:pPr>
      <w:r>
        <w:t>Simulator</w:t>
      </w:r>
    </w:p>
    <w:p>
      <w:r>
        <w:t>Cycle-accurate mode and functional mode generated from ISA database.</w:t>
      </w:r>
    </w:p>
    <w:p>
      <w:pPr>
        <w:pStyle w:val="Heading2"/>
      </w:pPr>
      <w:r>
        <w:t>Debugger</w:t>
      </w:r>
    </w:p>
    <w:p>
      <w:r>
        <w:t>Show accumulators, stream state, pairing window, scoreboard, and pipeline state.</w:t>
      </w:r>
    </w:p>
    <w:p>
      <w:pPr>
        <w:pStyle w:val="Heading2"/>
      </w:pPr>
      <w:r>
        <w:t>Verification</w:t>
      </w:r>
    </w:p>
    <w:p>
      <w:r>
        <w:t>Assembler, simulator, RTL, and documentation generated from the same ISA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