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v1.2 Machine-Readable Architecture Database</w:t>
      </w:r>
    </w:p>
    <w:p>
      <w:pPr>
        <w:jc w:val="center"/>
      </w:pPr>
      <w:r>
        <w:rPr>
          <w:i/>
        </w:rPr>
        <w:t>AUR-ARCH-010 | Expanded Canonical Specification</w:t>
      </w:r>
    </w:p>
    <w:p>
      <w:pPr>
        <w:pStyle w:val="Heading1"/>
      </w:pPr>
      <w:r>
        <w:t>1. Purpose</w:t>
      </w:r>
    </w:p>
    <w:p>
      <w:r>
        <w:t>Define one authoritative data model for architecture facts shared by documentation, assembler, compiler, simulator, RTL, verification, and product profiles.</w:t>
      </w:r>
    </w:p>
    <w:p>
      <w:pPr>
        <w:pStyle w:val="Heading1"/>
      </w:pPr>
      <w:r>
        <w:t>2. Canonical Domains</w:t>
      </w:r>
    </w:p>
    <w:p>
      <w:pPr>
        <w:pStyle w:val="ListBullet"/>
      </w:pPr>
      <w:r>
        <w:t>Core architecture and pipeline</w:t>
      </w:r>
    </w:p>
    <w:p>
      <w:pPr>
        <w:pStyle w:val="ListBullet"/>
      </w:pPr>
      <w:r>
        <w:t>Registers and paired-64 rules</w:t>
      </w:r>
    </w:p>
    <w:p>
      <w:pPr>
        <w:pStyle w:val="ListBullet"/>
      </w:pPr>
      <w:r>
        <w:t>Modes and lane behavior</w:t>
      </w:r>
    </w:p>
    <w:p>
      <w:pPr>
        <w:pStyle w:val="ListBullet"/>
      </w:pPr>
      <w:r>
        <w:t>Execution resources and capacities</w:t>
      </w:r>
    </w:p>
    <w:p>
      <w:pPr>
        <w:pStyle w:val="ListBullet"/>
      </w:pPr>
      <w:r>
        <w:t>Streams and accumulators</w:t>
      </w:r>
    </w:p>
    <w:p>
      <w:pPr>
        <w:pStyle w:val="ListBullet"/>
      </w:pPr>
      <w:r>
        <w:t>Timers and interrupts</w:t>
      </w:r>
    </w:p>
    <w:p>
      <w:pPr>
        <w:pStyle w:val="ListBullet"/>
      </w:pPr>
      <w:r>
        <w:t>Memory regions and exceptions</w:t>
      </w:r>
    </w:p>
    <w:p>
      <w:pPr>
        <w:pStyle w:val="ListBullet"/>
      </w:pPr>
      <w:r>
        <w:t>RTL interface bundles</w:t>
      </w:r>
    </w:p>
    <w:p>
      <w:pPr>
        <w:pStyle w:val="ListBullet"/>
      </w:pPr>
      <w:r>
        <w:t>Requirements and verification links</w:t>
      </w:r>
    </w:p>
    <w:p>
      <w:pPr>
        <w:pStyle w:val="ListBullet"/>
      </w:pPr>
      <w:r>
        <w:t>Aurora-L/M/P profile overrides</w:t>
      </w:r>
    </w:p>
    <w:p>
      <w:pPr>
        <w:pStyle w:val="Heading1"/>
      </w:pPr>
      <w:r>
        <w:t>3. Generated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aurora_architecture_v1_2.json</w:t>
            </w:r>
          </w:p>
        </w:tc>
        <w:tc>
          <w:tcPr>
            <w:tcW w:type="dxa" w:w="5112"/>
          </w:tcPr>
          <w:p>
            <w:r>
              <w:t>Canonical architecture database</w:t>
            </w:r>
          </w:p>
        </w:tc>
      </w:tr>
      <w:tr>
        <w:tc>
          <w:tcPr>
            <w:tcW w:type="dxa" w:w="5112"/>
          </w:tcPr>
          <w:p>
            <w:r>
              <w:t>aurora_architecture_schema_v1_0.json</w:t>
            </w:r>
          </w:p>
        </w:tc>
        <w:tc>
          <w:tcPr>
            <w:tcW w:type="dxa" w:w="5112"/>
          </w:tcPr>
          <w:p>
            <w:r>
              <w:t>Structural validation schema</w:t>
            </w:r>
          </w:p>
        </w:tc>
      </w:tr>
      <w:tr>
        <w:tc>
          <w:tcPr>
            <w:tcW w:type="dxa" w:w="5112"/>
          </w:tcPr>
          <w:p>
            <w:r>
              <w:t>aurora_arch_pkg.sv</w:t>
            </w:r>
          </w:p>
        </w:tc>
        <w:tc>
          <w:tcPr>
            <w:tcW w:type="dxa" w:w="5112"/>
          </w:tcPr>
          <w:p>
            <w:r>
              <w:t>Shared SystemVerilog modes, exceptions and bundles</w:t>
            </w:r>
          </w:p>
        </w:tc>
      </w:tr>
      <w:tr>
        <w:tc>
          <w:tcPr>
            <w:tcW w:type="dxa" w:w="5112"/>
          </w:tcPr>
          <w:p>
            <w:r>
              <w:t>aurora_arch_v1_2.h</w:t>
            </w:r>
          </w:p>
        </w:tc>
        <w:tc>
          <w:tcPr>
            <w:tcW w:type="dxa" w:w="5112"/>
          </w:tcPr>
          <w:p>
            <w:r>
              <w:t>C constants for SDK/tooling</w:t>
            </w:r>
          </w:p>
        </w:tc>
      </w:tr>
      <w:tr>
        <w:tc>
          <w:tcPr>
            <w:tcW w:type="dxa" w:w="5112"/>
          </w:tcPr>
          <w:p>
            <w:r>
              <w:t>aurora_arch_constants.py</w:t>
            </w:r>
          </w:p>
        </w:tc>
        <w:tc>
          <w:tcPr>
            <w:tcW w:type="dxa" w:w="5112"/>
          </w:tcPr>
          <w:p>
            <w:r>
              <w:t>Simulator/reference-model constants</w:t>
            </w:r>
          </w:p>
        </w:tc>
      </w:tr>
      <w:tr>
        <w:tc>
          <w:tcPr>
            <w:tcW w:type="dxa" w:w="5112"/>
          </w:tcPr>
          <w:p>
            <w:r>
              <w:t>CSV exports</w:t>
            </w:r>
          </w:p>
        </w:tc>
        <w:tc>
          <w:tcPr>
            <w:tcW w:type="dxa" w:w="5112"/>
          </w:tcPr>
          <w:p>
            <w:r>
              <w:t>Resources, memory map and requirements</w:t>
            </w:r>
          </w:p>
        </w:tc>
      </w:tr>
      <w:tr>
        <w:tc>
          <w:tcPr>
            <w:tcW w:type="dxa" w:w="5112"/>
          </w:tcPr>
          <w:p>
            <w:r>
              <w:t>validate_architecture_database.py</w:t>
            </w:r>
          </w:p>
        </w:tc>
        <w:tc>
          <w:tcPr>
            <w:tcW w:type="dxa" w:w="5112"/>
          </w:tcPr>
          <w:p>
            <w:r>
              <w:t>Project invariant checks</w:t>
            </w:r>
          </w:p>
        </w:tc>
      </w:tr>
    </w:tbl>
    <w:p>
      <w:pPr>
        <w:pStyle w:val="Heading1"/>
      </w:pPr>
      <w:r>
        <w:t>4. Architectural Invariants Enforced</w:t>
      </w:r>
    </w:p>
    <w:p>
      <w:pPr>
        <w:pStyle w:val="ListBullet"/>
      </w:pPr>
      <w:r>
        <w:t>Exactly sixteen architectural GPRs.</w:t>
      </w:r>
    </w:p>
    <w:p>
      <w:pPr>
        <w:pStyle w:val="ListBullet"/>
      </w:pPr>
      <w:r>
        <w:t>Two-wide issue with a four-entry lookahead window.</w:t>
      </w:r>
    </w:p>
    <w:p>
      <w:pPr>
        <w:pStyle w:val="ListBullet"/>
      </w:pPr>
      <w:r>
        <w:t>In-order retirement with no register renaming or general ROB.</w:t>
      </w:r>
    </w:p>
    <w:p>
      <w:pPr>
        <w:pStyle w:val="ListBullet"/>
      </w:pPr>
      <w:r>
        <w:t>Seven aligned writable register pairs; SP and PC are source-only in paired-64 mode.</w:t>
      </w:r>
    </w:p>
    <w:p>
      <w:pPr>
        <w:pStyle w:val="ListBullet"/>
      </w:pPr>
      <w:r>
        <w:t>Two stream engines and two 40-bit accumulators.</w:t>
      </w:r>
    </w:p>
    <w:p>
      <w:pPr>
        <w:pStyle w:val="ListBullet"/>
      </w:pPr>
      <w:r>
        <w:t>One coarse OS-managed countdown timer.</w:t>
      </w:r>
    </w:p>
    <w:p>
      <w:pPr>
        <w:pStyle w:val="ListBullet"/>
      </w:pPr>
      <w:r>
        <w:t>No dedicated full divider resource; division uses DIVSTEP.</w:t>
      </w:r>
    </w:p>
    <w:p>
      <w:pPr>
        <w:pStyle w:val="ListBullet"/>
      </w:pPr>
      <w:r>
        <w:t>MMIO remains strongly ordered.</w:t>
      </w:r>
    </w:p>
    <w:p>
      <w:pPr>
        <w:pStyle w:val="Heading1"/>
      </w:pPr>
      <w:r>
        <w:t>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Statement</w:t>
            </w:r>
          </w:p>
        </w:tc>
        <w:tc>
          <w:tcPr>
            <w:tcW w:type="dxa" w:w="2556"/>
          </w:tcPr>
          <w:p>
            <w:r>
              <w:t>Database Domain</w:t>
            </w:r>
          </w:p>
        </w:tc>
        <w:tc>
          <w:tcPr>
            <w:tcW w:type="dxa" w:w="2556"/>
          </w:tcPr>
          <w:p>
            <w:r>
              <w:t>Verification</w:t>
            </w:r>
          </w:p>
        </w:tc>
      </w:tr>
      <w:tr>
        <w:tc>
          <w:tcPr>
            <w:tcW w:type="dxa" w:w="2556"/>
          </w:tcPr>
          <w:p>
            <w:r>
              <w:t>REQ-0001</w:t>
            </w:r>
          </w:p>
        </w:tc>
        <w:tc>
          <w:tcPr>
            <w:tcW w:type="dxa" w:w="2556"/>
          </w:tcPr>
          <w:p>
            <w:r>
              <w:t>Architectural retirement shall be in order.</w:t>
            </w:r>
          </w:p>
        </w:tc>
        <w:tc>
          <w:tcPr>
            <w:tcW w:type="dxa" w:w="2556"/>
          </w:tcPr>
          <w:p>
            <w:r>
              <w:t>architecture/resources/interfaces</w:t>
            </w:r>
          </w:p>
        </w:tc>
        <w:tc>
          <w:tcPr>
            <w:tcW w:type="dxa" w:w="2556"/>
          </w:tcPr>
          <w:p>
            <w:r>
              <w:t>commit_order_property</w:t>
            </w:r>
          </w:p>
        </w:tc>
      </w:tr>
      <w:tr>
        <w:tc>
          <w:tcPr>
            <w:tcW w:type="dxa" w:w="2556"/>
          </w:tcPr>
          <w:p>
            <w:r>
              <w:t>REQ-0002</w:t>
            </w:r>
          </w:p>
        </w:tc>
        <w:tc>
          <w:tcPr>
            <w:tcW w:type="dxa" w:w="2556"/>
          </w:tcPr>
          <w:p>
            <w:r>
              <w:t>Either issue lane may execute ordinary ALU-class instructions.</w:t>
            </w:r>
          </w:p>
        </w:tc>
        <w:tc>
          <w:tcPr>
            <w:tcW w:type="dxa" w:w="2556"/>
          </w:tcPr>
          <w:p>
            <w:r>
              <w:t>architecture/resources/interfaces</w:t>
            </w:r>
          </w:p>
        </w:tc>
        <w:tc>
          <w:tcPr>
            <w:tcW w:type="dxa" w:w="2556"/>
          </w:tcPr>
          <w:p>
            <w:r>
              <w:t>lane_symmetry_test</w:t>
            </w:r>
          </w:p>
        </w:tc>
      </w:tr>
      <w:tr>
        <w:tc>
          <w:tcPr>
            <w:tcW w:type="dxa" w:w="2556"/>
          </w:tcPr>
          <w:p>
            <w:r>
              <w:t>REQ-0003</w:t>
            </w:r>
          </w:p>
        </w:tc>
        <w:tc>
          <w:tcPr>
            <w:tcW w:type="dxa" w:w="2556"/>
          </w:tcPr>
          <w:p>
            <w:r>
              <w:t>DIV shall not require a dedicated full divider.</w:t>
            </w:r>
          </w:p>
        </w:tc>
        <w:tc>
          <w:tcPr>
            <w:tcW w:type="dxa" w:w="2556"/>
          </w:tcPr>
          <w:p>
            <w:r>
              <w:t>architecture/resources/interfaces</w:t>
            </w:r>
          </w:p>
        </w:tc>
        <w:tc>
          <w:tcPr>
            <w:tcW w:type="dxa" w:w="2556"/>
          </w:tcPr>
          <w:p>
            <w:r>
              <w:t>divstep_only_decode_property</w:t>
            </w:r>
          </w:p>
        </w:tc>
      </w:tr>
      <w:tr>
        <w:tc>
          <w:tcPr>
            <w:tcW w:type="dxa" w:w="2556"/>
          </w:tcPr>
          <w:p>
            <w:r>
              <w:t>REQ-0004</w:t>
            </w:r>
          </w:p>
        </w:tc>
        <w:tc>
          <w:tcPr>
            <w:tcW w:type="dxa" w:w="2556"/>
          </w:tcPr>
          <w:p>
            <w:r>
              <w:t>Stream consumption shall remain ordered per stream.</w:t>
            </w:r>
          </w:p>
        </w:tc>
        <w:tc>
          <w:tcPr>
            <w:tcW w:type="dxa" w:w="2556"/>
          </w:tcPr>
          <w:p>
            <w:r>
              <w:t>architecture/resources/interfaces</w:t>
            </w:r>
          </w:p>
        </w:tc>
        <w:tc>
          <w:tcPr>
            <w:tcW w:type="dxa" w:w="2556"/>
          </w:tcPr>
          <w:p>
            <w:r>
              <w:t>stream_order_property</w:t>
            </w:r>
          </w:p>
        </w:tc>
      </w:tr>
      <w:tr>
        <w:tc>
          <w:tcPr>
            <w:tcW w:type="dxa" w:w="2556"/>
          </w:tcPr>
          <w:p>
            <w:r>
              <w:t>REQ-0005</w:t>
            </w:r>
          </w:p>
        </w:tc>
        <w:tc>
          <w:tcPr>
            <w:tcW w:type="dxa" w:w="2556"/>
          </w:tcPr>
          <w:p>
            <w:r>
              <w:t>MMIO transactions shall remain strongly ordered.</w:t>
            </w:r>
          </w:p>
        </w:tc>
        <w:tc>
          <w:tcPr>
            <w:tcW w:type="dxa" w:w="2556"/>
          </w:tcPr>
          <w:p>
            <w:r>
              <w:t>architecture/resources/interfaces</w:t>
            </w:r>
          </w:p>
        </w:tc>
        <w:tc>
          <w:tcPr>
            <w:tcW w:type="dxa" w:w="2556"/>
          </w:tcPr>
          <w:p>
            <w:r>
              <w:t>mmio_order_property</w:t>
            </w:r>
          </w:p>
        </w:tc>
      </w:tr>
    </w:tbl>
    <w:p>
      <w:pPr>
        <w:pStyle w:val="Heading1"/>
      </w:pPr>
      <w:r>
        <w:t>6. Governance</w:t>
      </w:r>
    </w:p>
    <w:p>
      <w:pPr>
        <w:pStyle w:val="ListBullet"/>
      </w:pPr>
      <w:r>
        <w:t>Encoding changes originate in the ISA database and propagate here.</w:t>
      </w:r>
    </w:p>
    <w:p>
      <w:pPr>
        <w:pStyle w:val="ListBullet"/>
      </w:pPr>
      <w:r>
        <w:t>Architecture changes require an ADR before database modification.</w:t>
      </w:r>
    </w:p>
    <w:p>
      <w:pPr>
        <w:pStyle w:val="ListBullet"/>
      </w:pPr>
      <w:r>
        <w:t>Documentation-structure changes require a DDR.</w:t>
      </w:r>
    </w:p>
    <w:p>
      <w:pPr>
        <w:pStyle w:val="ListBullet"/>
      </w:pPr>
      <w:r>
        <w:t>Generated files must not be hand-edited.</w:t>
      </w:r>
    </w:p>
    <w:p>
      <w:pPr>
        <w:pStyle w:val="ListBullet"/>
      </w:pPr>
      <w:r>
        <w:t>CI must run schema and invariant validation before accepting changes.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