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DDR-0058 — DMA and Reduction/Stream Documentation</w:t>
      </w:r>
    </w:p>
    <w:p>
      <w:r>
        <w:t>Status: LOCKED</w:t>
        <w:br/>
        <w:t>Date: August 3, 2026</w:t>
      </w:r>
    </w:p>
    <w:p>
      <w:pPr>
        <w:pStyle w:val="ListBullet"/>
      </w:pPr>
      <w:r>
        <w:t>The Architecture Bible, memory-system specification, stream-engine specification, SoC integration guide, programmer guide, system-register map, RTL block catalog, and master index shall identify DMA as a required baseline near-memory subsystem.</w:t>
      </w:r>
    </w:p>
    <w:p>
      <w:pPr>
        <w:pStyle w:val="ListBullet"/>
      </w:pPr>
      <w:r>
        <w:t>Documentation shall keep packed reduction semantics separate from stream traversal and DMA transfer semantics.</w:t>
      </w:r>
    </w:p>
    <w:p>
      <w:pPr>
        <w:pStyle w:val="ListBullet"/>
      </w:pPr>
      <w:r>
        <w:t>The DMA chapter shall define the two-channel baseline, 1D/2D descriptors, arbitration, events, faults, fences, and double-buffer workflow.</w:t>
      </w:r>
    </w:p>
    <w:p>
      <w:pPr>
        <w:pStyle w:val="ListBullet"/>
      </w:pPr>
      <w:r>
        <w:t>The pinned-stream chapter shall state that DMA-modified backing memory requires explicit invalidation or reconfiguration before pinned reuse.</w:t>
      </w:r>
    </w:p>
    <w:p>
      <w:pPr>
        <w:pStyle w:val="ListBullet"/>
      </w:pPr>
      <w:r>
        <w:t>Timing and block diagrams shall show DMA as a local-memory-fabric master alongside IF, LSU, Q0, and Q1.</w:t>
      </w:r>
    </w:p>
    <w:p>
      <w:pPr>
        <w:pStyle w:val="ListBullet"/>
      </w:pPr>
      <w:r>
        <w:t>AUR-ARCH-005 v1.2o becomes the canonical working Instruction Reference after appending the architectural interaction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