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Design Journal and Architecture Review Checklist</w:t>
      </w:r>
    </w:p>
    <w:p>
      <w:pPr>
        <w:pStyle w:val="Subtitle"/>
        <w:jc w:val="center"/>
      </w:pPr>
      <w:r>
        <w:t>Phase 1, Revision 1.0</w:t>
      </w:r>
    </w:p>
    <w:p>
      <w:pPr>
        <w:pStyle w:val="Heading1"/>
      </w:pPr>
      <w:r>
        <w:t>Architecture review checklist - mandatory gate</w:t>
      </w:r>
    </w:p>
    <w:p>
      <w:r>
        <w:t>1. What representative workloads benefit, and how frequently?</w:t>
      </w:r>
    </w:p>
    <w:p>
      <w:r>
        <w:t>2. How many dynamic instructions, cycles, memory transactions, or bytes are saved?</w:t>
      </w:r>
    </w:p>
    <w:p>
      <w:r>
        <w:t>3. Can the compiler synthesize the behavior efficiently from existing operations?</w:t>
      </w:r>
    </w:p>
    <w:p>
      <w:r>
        <w:t>4. What is the estimated gate, SRAM, routing, and verification cost?</w:t>
      </w:r>
    </w:p>
    <w:p>
      <w:r>
        <w:t>5. Does the feature add a mux or fan-out on a likely critical path?</w:t>
      </w:r>
    </w:p>
    <w:p>
      <w:r>
        <w:t>6. Can it reuse the scalar ALU, packed ALU, compressor tree, shifter, stream engine, or DMA?</w:t>
      </w:r>
    </w:p>
    <w:p>
      <w:r>
        <w:t>7. Does it consume scarce opcode space or reduce operand/immediate range?</w:t>
      </w:r>
    </w:p>
    <w:p>
      <w:r>
        <w:t>8. Does it complicate dual issue, scoreboarding, precise exceptions, ABI, context switching, or debugging?</w:t>
      </w:r>
    </w:p>
    <w:p>
      <w:r>
        <w:t>9. Is timing deterministic and understandable?</w:t>
      </w:r>
    </w:p>
    <w:p>
      <w:r>
        <w:t>10. Does it require specialty external parts or increase board cost?</w:t>
      </w:r>
    </w:p>
    <w:p>
      <w:r>
        <w:t>11. Is it baseline-worthy, optional extension material, or better left to software?</w:t>
      </w:r>
    </w:p>
    <w:p>
      <w:r>
        <w:t>12. What benchmark, trace, or synthesis evidence is required before approval?</w:t>
      </w:r>
    </w:p>
    <w:p>
      <w:r>
        <w:t>13. Have the overview, specification, ISA reference, tests, and toolchain contract been updated?</w:t>
      </w:r>
    </w:p>
    <w:p>
      <w:pPr>
        <w:pStyle w:val="Heading1"/>
      </w:pPr>
      <w:r>
        <w:t>Key Phase 1 decisions and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DSP-first, MCU-capable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 plain MCU is difficult to differentiate. DSP-oriented data movement and packed arithmetic create a credible niche while retaining control capability.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16-bit instructions, 32-bit 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Preserves code density and dual-fetch grouping without restricting native computation.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R0/R4 streams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Makes regular access implicit and provides two independently buffered operands for DSP kernels.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No 4-bit lanes or streams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Avoids awkward packing/state complexity and low-value opcode pressure.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Banked commodity SRAM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Captures most dual-port bandwidth using standard low-cost memories.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Four-stage pipeline plus scoreboard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Keeps the front end simple while allowing memory and arithmetic to outlive pipeline stages.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Shared compressor tree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Reuses a common high-value structure for multiply, MAC/MSUB, dot, HADD, and SAD.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No branch-buffer split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Fetch complexity and bandwidth waste did not justify a balanced-branch feature.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Explicit saturation and rounding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Avoids hidden numeric modes and preserves exact instruction meaning.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No dedicated PCA/ICA/FFT opcodes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General linear-algebra and reduction primitives are broader and easier to compile.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Exact reserved opcode policy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Prevents accidental ISA drift and leaves controlled room for future extensions.</w:t>
            </w:r>
          </w:p>
        </w:tc>
      </w:tr>
    </w:tbl>
    <w:p>
      <w:pPr>
        <w:pStyle w:val="Heading1"/>
      </w:pPr>
      <w:r>
        <w:t>Change control after Phase 1</w:t>
      </w:r>
    </w:p>
    <w:p>
      <w:pPr>
        <w:pStyle w:val="ListBullet"/>
      </w:pPr>
      <w:r>
        <w:t>Any semantic change to an allocated instruction requires a major architecture revision.</w:t>
      </w:r>
    </w:p>
    <w:p>
      <w:pPr>
        <w:pStyle w:val="ListBullet"/>
      </w:pPr>
      <w:r>
        <w:t>Using a reserved encoding requires the full review checklist, validation kernels, and toolchain updates.</w:t>
      </w:r>
    </w:p>
    <w:p>
      <w:pPr>
        <w:pStyle w:val="ListBullet"/>
      </w:pPr>
      <w:r>
        <w:t>Latency improvements that preserve baseline timing contracts are implementation revisions, not ISA revisions.</w:t>
      </w:r>
    </w:p>
    <w:p>
      <w:pPr>
        <w:pStyle w:val="ListBullet"/>
      </w:pPr>
      <w:r>
        <w:t>Changes to ABI, exception frames, stream context, or memory ordering require explicit compatibility review.</w:t>
      </w:r>
    </w:p>
    <w:p>
      <w:pPr>
        <w:pStyle w:val="ListBullet"/>
      </w:pPr>
      <w:r>
        <w:t>Every accepted decision must be reflected in the living overview, architecture specification, ISA reference, tests, and journal.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