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Aurora Architecture Decision Register (ADR)</w:t>
      </w:r>
    </w:p>
    <w:p>
      <w:r>
        <w:t>This register assigns a permanent Architecture Decision Record (ADR) identifier to every major architectural choice. Other documents should reference ADR IDs instead of repeating rationale.</w:t>
      </w:r>
    </w:p>
    <w:p>
      <w:pPr>
        <w:pStyle w:val="Heading1"/>
      </w:pPr>
      <w:r>
        <w:t>ADR Lifecycle</w:t>
      </w:r>
    </w:p>
    <w:p>
      <w:pPr>
        <w:pStyle w:val="ListBullet"/>
      </w:pPr>
      <w:r>
        <w:t>Proposed</w:t>
      </w:r>
    </w:p>
    <w:p>
      <w:pPr>
        <w:pStyle w:val="ListBullet"/>
      </w:pPr>
      <w:r>
        <w:t>Accepted</w:t>
      </w:r>
    </w:p>
    <w:p>
      <w:pPr>
        <w:pStyle w:val="ListBullet"/>
      </w:pPr>
      <w:r>
        <w:t>Frozen</w:t>
      </w:r>
    </w:p>
    <w:p>
      <w:pPr>
        <w:pStyle w:val="ListBullet"/>
      </w:pPr>
      <w:r>
        <w:t>Superseded</w:t>
      </w:r>
    </w:p>
    <w:p>
      <w:pPr>
        <w:pStyle w:val="ListBullet"/>
      </w:pPr>
      <w:r>
        <w:t>Deprecated</w:t>
      </w:r>
    </w:p>
    <w:p>
      <w:pPr>
        <w:pStyle w:val="Heading1"/>
      </w:pPr>
      <w:r>
        <w:t>ADR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ADR ID</w:t>
            </w:r>
          </w:p>
        </w:tc>
        <w:tc>
          <w:tcPr>
            <w:tcW w:type="dxa" w:w="1728"/>
          </w:tcPr>
          <w:p>
            <w:r>
              <w:t>Decision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Primary Document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ADR-0001</w:t>
            </w:r>
          </w:p>
        </w:tc>
        <w:tc>
          <w:tcPr>
            <w:tcW w:type="dxa" w:w="1728"/>
          </w:tcPr>
          <w:p>
            <w:r>
              <w:t>Mission: MCU + low/mid DSP consolidation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AUR-ARCH-001</w:t>
            </w:r>
          </w:p>
        </w:tc>
        <w:tc>
          <w:tcPr>
            <w:tcW w:type="dxa" w:w="1728"/>
          </w:tcPr>
          <w:p>
            <w:r>
              <w:t>Core product identity</w:t>
            </w:r>
          </w:p>
        </w:tc>
      </w:tr>
      <w:tr>
        <w:tc>
          <w:tcPr>
            <w:tcW w:type="dxa" w:w="1728"/>
          </w:tcPr>
          <w:p>
            <w:r>
              <w:t>ADR-0002</w:t>
            </w:r>
          </w:p>
        </w:tc>
        <w:tc>
          <w:tcPr>
            <w:tcW w:type="dxa" w:w="1728"/>
          </w:tcPr>
          <w:p>
            <w:r>
              <w:t>16-bit base ISA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AUR-ARCH-001</w:t>
            </w:r>
          </w:p>
        </w:tc>
        <w:tc>
          <w:tcPr>
            <w:tcW w:type="dxa" w:w="1728"/>
          </w:tcPr>
          <w:p>
            <w:r>
              <w:t>Extension words for larger encodings</w:t>
            </w:r>
          </w:p>
        </w:tc>
      </w:tr>
      <w:tr>
        <w:tc>
          <w:tcPr>
            <w:tcW w:type="dxa" w:w="1728"/>
          </w:tcPr>
          <w:p>
            <w:r>
              <w:t>ADR-0003</w:t>
            </w:r>
          </w:p>
        </w:tc>
        <w:tc>
          <w:tcPr>
            <w:tcW w:type="dxa" w:w="1728"/>
          </w:tcPr>
          <w:p>
            <w:r>
              <w:t>16 unified 32-bit GPRs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AUR-ARCH-001</w:t>
            </w:r>
          </w:p>
        </w:tc>
        <w:tc>
          <w:tcPr>
            <w:tcW w:type="dxa" w:w="1728"/>
          </w:tcPr>
          <w:p>
            <w:r>
              <w:t>Unified register file</w:t>
            </w:r>
          </w:p>
        </w:tc>
      </w:tr>
      <w:tr>
        <w:tc>
          <w:tcPr>
            <w:tcW w:type="dxa" w:w="1728"/>
          </w:tcPr>
          <w:p>
            <w:r>
              <w:t>ADR-0004</w:t>
            </w:r>
          </w:p>
        </w:tc>
        <w:tc>
          <w:tcPr>
            <w:tcW w:type="dxa" w:w="1728"/>
          </w:tcPr>
          <w:p>
            <w:r>
              <w:t>Paired-register 64-bit emulation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AUR-ARCH-001</w:t>
            </w:r>
          </w:p>
        </w:tc>
        <w:tc>
          <w:tcPr>
            <w:tcW w:type="dxa" w:w="1728"/>
          </w:tcPr>
          <w:p>
            <w:r>
              <w:t>No native 64-bit core</w:t>
            </w:r>
          </w:p>
        </w:tc>
      </w:tr>
      <w:tr>
        <w:tc>
          <w:tcPr>
            <w:tcW w:type="dxa" w:w="1728"/>
          </w:tcPr>
          <w:p>
            <w:r>
              <w:t>ADR-0005</w:t>
            </w:r>
          </w:p>
        </w:tc>
        <w:tc>
          <w:tcPr>
            <w:tcW w:type="dxa" w:w="1728"/>
          </w:tcPr>
          <w:p>
            <w:r>
              <w:t>R13 LR, R14 SP, R15 PC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AUR-ARCH-003</w:t>
            </w:r>
          </w:p>
        </w:tc>
        <w:tc>
          <w:tcPr>
            <w:tcW w:type="dxa" w:w="1728"/>
          </w:tcPr>
          <w:p>
            <w:r>
              <w:t>Conditional LR allocation</w:t>
            </w:r>
          </w:p>
        </w:tc>
      </w:tr>
      <w:tr>
        <w:tc>
          <w:tcPr>
            <w:tcW w:type="dxa" w:w="1728"/>
          </w:tcPr>
          <w:p>
            <w:r>
              <w:t>ADR-0006</w:t>
            </w:r>
          </w:p>
        </w:tc>
        <w:tc>
          <w:tcPr>
            <w:tcW w:type="dxa" w:w="1728"/>
          </w:tcPr>
          <w:p>
            <w:r>
              <w:t>40-bit accumulators A0/A1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AUR-ARCH-001</w:t>
            </w:r>
          </w:p>
        </w:tc>
        <w:tc>
          <w:tcPr>
            <w:tcW w:type="dxa" w:w="1728"/>
          </w:tcPr>
          <w:p>
            <w:r>
              <w:t>DSP accumulators</w:t>
            </w:r>
          </w:p>
        </w:tc>
      </w:tr>
      <w:tr>
        <w:tc>
          <w:tcPr>
            <w:tcW w:type="dxa" w:w="1728"/>
          </w:tcPr>
          <w:p>
            <w:r>
              <w:t>ADR-0007</w:t>
            </w:r>
          </w:p>
        </w:tc>
        <w:tc>
          <w:tcPr>
            <w:tcW w:type="dxa" w:w="1728"/>
          </w:tcPr>
          <w:p>
            <w:r>
              <w:t>Q0/Q1 stream engines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AUR-ARCH-001</w:t>
            </w:r>
          </w:p>
        </w:tc>
        <w:tc>
          <w:tcPr>
            <w:tcW w:type="dxa" w:w="1728"/>
          </w:tcPr>
          <w:p>
            <w:r>
              <w:t>Overlay on R0/R4</w:t>
            </w:r>
          </w:p>
        </w:tc>
      </w:tr>
      <w:tr>
        <w:tc>
          <w:tcPr>
            <w:tcW w:type="dxa" w:w="1728"/>
          </w:tcPr>
          <w:p>
            <w:r>
              <w:t>ADR-0008</w:t>
            </w:r>
          </w:p>
        </w:tc>
        <w:tc>
          <w:tcPr>
            <w:tcW w:type="dxa" w:w="1728"/>
          </w:tcPr>
          <w:p>
            <w:r>
              <w:t>Packed modes + L8/L16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AUR-ARCH-001</w:t>
            </w:r>
          </w:p>
        </w:tc>
        <w:tc>
          <w:tcPr>
            <w:tcW w:type="dxa" w:w="1728"/>
          </w:tcPr>
          <w:p>
            <w:r>
              <w:t>Lane-preserving modes</w:t>
            </w:r>
          </w:p>
        </w:tc>
      </w:tr>
      <w:tr>
        <w:tc>
          <w:tcPr>
            <w:tcW w:type="dxa" w:w="1728"/>
          </w:tcPr>
          <w:p>
            <w:r>
              <w:t>ADR-0009</w:t>
            </w:r>
          </w:p>
        </w:tc>
        <w:tc>
          <w:tcPr>
            <w:tcW w:type="dxa" w:w="1728"/>
          </w:tcPr>
          <w:p>
            <w:r>
              <w:t>Four-stage pipeline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AUR-ARCH-007</w:t>
            </w:r>
          </w:p>
        </w:tc>
        <w:tc>
          <w:tcPr>
            <w:tcW w:type="dxa" w:w="1728"/>
          </w:tcPr>
          <w:p>
            <w:r>
              <w:t>In-order</w:t>
            </w:r>
          </w:p>
        </w:tc>
      </w:tr>
      <w:tr>
        <w:tc>
          <w:tcPr>
            <w:tcW w:type="dxa" w:w="1728"/>
          </w:tcPr>
          <w:p>
            <w:r>
              <w:t>ADR-0010</w:t>
            </w:r>
          </w:p>
        </w:tc>
        <w:tc>
          <w:tcPr>
            <w:tcW w:type="dxa" w:w="1728"/>
          </w:tcPr>
          <w:p>
            <w:r>
              <w:t>Four-entry pairing window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AUR-ARCH-007</w:t>
            </w:r>
          </w:p>
        </w:tc>
        <w:tc>
          <w:tcPr>
            <w:tcW w:type="dxa" w:w="1728"/>
          </w:tcPr>
          <w:p>
            <w:r>
              <w:t>Compiler-assisted</w:t>
            </w:r>
          </w:p>
        </w:tc>
      </w:tr>
      <w:tr>
        <w:tc>
          <w:tcPr>
            <w:tcW w:type="dxa" w:w="1728"/>
          </w:tcPr>
          <w:p>
            <w:r>
              <w:t>ADR-0011</w:t>
            </w:r>
          </w:p>
        </w:tc>
        <w:tc>
          <w:tcPr>
            <w:tcW w:type="dxa" w:w="1728"/>
          </w:tcPr>
          <w:p>
            <w:r>
              <w:t>Symmetric dual-issue lanes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AUR-ARCH-007</w:t>
            </w:r>
          </w:p>
        </w:tc>
        <w:tc>
          <w:tcPr>
            <w:tcW w:type="dxa" w:w="1728"/>
          </w:tcPr>
          <w:p>
            <w:r>
              <w:t>Shared execution resources</w:t>
            </w:r>
          </w:p>
        </w:tc>
      </w:tr>
      <w:tr>
        <w:tc>
          <w:tcPr>
            <w:tcW w:type="dxa" w:w="1728"/>
          </w:tcPr>
          <w:p>
            <w:r>
              <w:t>ADR-0012</w:t>
            </w:r>
          </w:p>
        </w:tc>
        <w:tc>
          <w:tcPr>
            <w:tcW w:type="dxa" w:w="1728"/>
          </w:tcPr>
          <w:p>
            <w:r>
              <w:t>No renaming / no ROB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AUR-ARCH-007</w:t>
            </w:r>
          </w:p>
        </w:tc>
        <w:tc>
          <w:tcPr>
            <w:tcW w:type="dxa" w:w="1728"/>
          </w:tcPr>
          <w:p>
            <w:r>
              <w:t>Deterministic execution</w:t>
            </w:r>
          </w:p>
        </w:tc>
      </w:tr>
      <w:tr>
        <w:tc>
          <w:tcPr>
            <w:tcW w:type="dxa" w:w="1728"/>
          </w:tcPr>
          <w:p>
            <w:r>
              <w:t>ADR-0013</w:t>
            </w:r>
          </w:p>
        </w:tc>
        <w:tc>
          <w:tcPr>
            <w:tcW w:type="dxa" w:w="1728"/>
          </w:tcPr>
          <w:p>
            <w:r>
              <w:t>Backward-taken predictor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AUR-ARCH-007</w:t>
            </w:r>
          </w:p>
        </w:tc>
        <w:tc>
          <w:tcPr>
            <w:tcW w:type="dxa" w:w="1728"/>
          </w:tcPr>
          <w:p>
            <w:r>
              <w:t>Simple branch prediction</w:t>
            </w:r>
          </w:p>
        </w:tc>
      </w:tr>
      <w:tr>
        <w:tc>
          <w:tcPr>
            <w:tcW w:type="dxa" w:w="1728"/>
          </w:tcPr>
          <w:p>
            <w:r>
              <w:t>ADR-0014</w:t>
            </w:r>
          </w:p>
        </w:tc>
        <w:tc>
          <w:tcPr>
            <w:tcW w:type="dxa" w:w="1728"/>
          </w:tcPr>
          <w:p>
            <w:r>
              <w:t>Optional ITCM/DTCM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AUR-ARCH-006</w:t>
            </w:r>
          </w:p>
        </w:tc>
        <w:tc>
          <w:tcPr>
            <w:tcW w:type="dxa" w:w="1728"/>
          </w:tcPr>
          <w:p>
            <w:r>
              <w:t>Profile-scalable memory</w:t>
            </w:r>
          </w:p>
        </w:tc>
      </w:tr>
      <w:tr>
        <w:tc>
          <w:tcPr>
            <w:tcW w:type="dxa" w:w="1728"/>
          </w:tcPr>
          <w:p>
            <w:r>
              <w:t>ADR-0015</w:t>
            </w:r>
          </w:p>
        </w:tc>
        <w:tc>
          <w:tcPr>
            <w:tcW w:type="dxa" w:w="1728"/>
          </w:tcPr>
          <w:p>
            <w:r>
              <w:t>Single countdown timer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AUR-ARCH-006</w:t>
            </w:r>
          </w:p>
        </w:tc>
        <w:tc>
          <w:tcPr>
            <w:tcW w:type="dxa" w:w="1728"/>
          </w:tcPr>
          <w:p>
            <w:r>
              <w:t>Software multiplexing</w:t>
            </w:r>
          </w:p>
        </w:tc>
      </w:tr>
      <w:tr>
        <w:tc>
          <w:tcPr>
            <w:tcW w:type="dxa" w:w="1728"/>
          </w:tcPr>
          <w:p>
            <w:r>
              <w:t>ADR-0016</w:t>
            </w:r>
          </w:p>
        </w:tc>
        <w:tc>
          <w:tcPr>
            <w:tcW w:type="dxa" w:w="1728"/>
          </w:tcPr>
          <w:p>
            <w:r>
              <w:t>Compiler-first scheduling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AUR-TOOL-001</w:t>
            </w:r>
          </w:p>
        </w:tc>
        <w:tc>
          <w:tcPr>
            <w:tcW w:type="dxa" w:w="1728"/>
          </w:tcPr>
          <w:p>
            <w:r>
              <w:t>Hardware repairs locally</w:t>
            </w:r>
          </w:p>
        </w:tc>
      </w:tr>
      <w:tr>
        <w:tc>
          <w:tcPr>
            <w:tcW w:type="dxa" w:w="1728"/>
          </w:tcPr>
          <w:p>
            <w:r>
              <w:t>ADR-0017</w:t>
            </w:r>
          </w:p>
        </w:tc>
        <w:tc>
          <w:tcPr>
            <w:tcW w:type="dxa" w:w="1728"/>
          </w:tcPr>
          <w:p>
            <w:r>
              <w:t>Machine-readable ISA as source of truth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AUR-ARCH-004</w:t>
            </w:r>
          </w:p>
        </w:tc>
        <w:tc>
          <w:tcPr>
            <w:tcW w:type="dxa" w:w="1728"/>
          </w:tcPr>
          <w:p>
            <w:r>
              <w:t>Generates tools/docs</w:t>
            </w:r>
          </w:p>
        </w:tc>
      </w:tr>
    </w:tbl>
    <w:p>
      <w:pPr>
        <w:pStyle w:val="Heading1"/>
      </w:pPr>
      <w:r>
        <w:t>Referencing Rules</w:t>
      </w:r>
    </w:p>
    <w:p>
      <w:pPr>
        <w:pStyle w:val="ListBullet"/>
      </w:pPr>
      <w:r>
        <w:t>All architecture documents should cite ADR IDs when discussing rationale.</w:t>
      </w:r>
    </w:p>
    <w:p>
      <w:pPr>
        <w:pStyle w:val="ListBullet"/>
      </w:pPr>
      <w:r>
        <w:t>Implementation documents should reference ADRs instead of duplicating design justification.</w:t>
      </w:r>
    </w:p>
    <w:p>
      <w:pPr>
        <w:pStyle w:val="ListBullet"/>
      </w:pPr>
      <w:r>
        <w:t>Superseded ADRs remain in the register for historical traceability.</w:t>
      </w:r>
    </w:p>
    <w:p>
      <w:pPr>
        <w:pStyle w:val="ListBullet"/>
      </w:pPr>
      <w:r>
        <w:t>Each ADR should eventually expand into its own section in the Architecture Bible.</w:t>
      </w:r>
    </w:p>
    <w:p>
      <w:pPr>
        <w:pStyle w:val="Heading1"/>
      </w:pPr>
      <w:r>
        <w:t>Long-Term Goal</w:t>
      </w:r>
    </w:p>
    <w:p>
      <w:r>
        <w:t>Expand each ADR into a full Architecture Decision Record containing: Problem, Alternatives, Decision, Tradeoffs, Consequences, Related ADRs, Affected Documents, and Revision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