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1080" w:after="360" w:line="264" w:lineRule="auto"/>
        <w:jc w:val="center"/>
      </w:pPr>
      <w:r>
        <w:rPr>
          <w:rFonts w:ascii="Aptos" w:hAnsi="Aptos"/>
          <w:b/>
          <w:i w:val="0"/>
          <w:color w:val="2E74B5"/>
          <w:sz w:val="20"/>
        </w:rPr>
        <w:t>TECHNICAL EVIDENCE REPORT</w:t>
      </w:r>
    </w:p>
    <w:p>
      <w:pPr>
        <w:pStyle w:val="Title"/>
        <w:jc w:val="center"/>
      </w:pPr>
      <w:r>
        <w:t>Automated detection and visualisation</w:t>
        <w:br/>
        <w:t>of Tn1, Tn2 and Tn3</w:t>
      </w:r>
    </w:p>
    <w:p>
      <w:pPr>
        <w:keepNext w:val="0"/>
        <w:spacing w:before="0" w:after="560" w:line="264" w:lineRule="auto"/>
        <w:jc w:val="center"/>
      </w:pPr>
      <w:r>
        <w:rPr>
          <w:rFonts w:ascii="Aptos" w:hAnsi="Aptos"/>
          <w:b w:val="0"/>
          <w:i w:val="0"/>
          <w:color w:val="5B6570"/>
          <w:sz w:val="26"/>
        </w:rPr>
        <w:t>Expert rules, real-accession validation, locus maps,</w:t>
        <w:br/>
        <w:t>locus tables and hierarchical outputs</w:t>
      </w:r>
    </w:p>
    <w:tbl>
      <w:tblPr>
        <w:tblStyle w:val="TableGrid"/>
        <w:tblW w:type="dxa" w:w="8400"/>
        <w:jc w:val="center"/>
        <w:tblLayout w:type="fixed"/>
        <w:tblLook w:firstColumn="1" w:firstRow="1" w:lastColumn="0" w:lastRow="0" w:noHBand="0" w:noVBand="1" w:val="04A0"/>
        <w:tblInd w:w="120" w:type="dxa"/>
      </w:tblPr>
      <w:tblGrid>
        <w:gridCol w:w="2100"/>
        <w:gridCol w:w="2100"/>
        <w:gridCol w:w="2100"/>
        <w:gridCol w:w="2100"/>
      </w:tblGrid>
      <w:tr>
        <w:trPr>
          <w:tblHeader w:val="true"/>
        </w:trPr>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Definition set</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Software status</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Report date</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Validation</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9"/>
              </w:rPr>
              <w:t>2026-08-27</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External alpha</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27 August 2026</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14/14 checks pass</w:t>
            </w:r>
          </w:p>
        </w:tc>
      </w:tr>
    </w:tbl>
    <w:p>
      <w:pPr>
        <w:spacing w:after="0"/>
      </w:pPr>
    </w:p>
    <w:p>
      <w:pPr>
        <w:keepNext w:val="0"/>
        <w:spacing w:before="320" w:after="100" w:line="264" w:lineRule="auto"/>
      </w:pPr>
      <w:r>
        <w:rPr>
          <w:rFonts w:ascii="Aptos" w:hAnsi="Aptos"/>
          <w:b/>
          <w:i w:val="0"/>
          <w:color w:val="17365D"/>
          <w:sz w:val="24"/>
        </w:rPr>
        <w:t>Purpose</w:t>
      </w:r>
    </w:p>
    <w:p>
      <w:pPr>
        <w:keepNext w:val="0"/>
        <w:spacing w:before="0" w:after="200" w:line="264" w:lineRule="auto"/>
      </w:pPr>
      <w:r>
        <w:rPr>
          <w:rFonts w:ascii="Aptos" w:hAnsi="Aptos"/>
          <w:b w:val="0"/>
          <w:i w:val="0"/>
          <w:color w:val="17212B"/>
          <w:sz w:val="22"/>
        </w:rPr>
        <w:t>This document is the reviewable evidence package: it explains what is run, how the biological rules are specified, and what the program produced from the reviewed accession sequences. The actual figures and tables are embedded in the report.</w:t>
      </w:r>
    </w:p>
    <w:p>
      <w:pPr>
        <w:keepNext w:val="0"/>
        <w:spacing w:before="200" w:after="100" w:line="264" w:lineRule="auto"/>
      </w:pPr>
      <w:r>
        <w:rPr>
          <w:rFonts w:ascii="Aptos" w:hAnsi="Aptos"/>
          <w:b/>
          <w:i w:val="0"/>
          <w:color w:val="17365D"/>
          <w:sz w:val="24"/>
        </w:rPr>
        <w:t>Scope statement</w:t>
      </w:r>
    </w:p>
    <w:p>
      <w:pPr>
        <w:keepNext w:val="0"/>
        <w:spacing w:before="0" w:after="120" w:line="264" w:lineRule="auto"/>
      </w:pPr>
      <w:r>
        <w:rPr>
          <w:rFonts w:ascii="Aptos" w:hAnsi="Aptos"/>
          <w:b w:val="0"/>
          <w:i w:val="0"/>
          <w:color w:val="17212B"/>
          <w:sz w:val="22"/>
        </w:rPr>
        <w:t>The validated scope is Tn1, Tn2, Tn3 and the reviewed close definitions listed here. It is not yet an exhaustive replacement for expert mobile-element annotation across every family.</w:t>
      </w:r>
    </w:p>
    <w:p>
      <w:pPr>
        <w:sectPr>
          <w:headerReference w:type="default" r:id="rId9"/>
          <w:footerReference w:type="default" r:id="rId10"/>
          <w:pgSz w:w="12240" w:h="15840"/>
          <w:pgMar w:top="1152" w:right="1224" w:bottom="1080" w:left="1224" w:header="360" w:footer="360" w:gutter="0"/>
          <w:cols w:space="720"/>
          <w:docGrid w:linePitch="360"/>
        </w:sectPr>
      </w:pPr>
    </w:p>
    <w:p>
      <w:pPr>
        <w:pStyle w:val="Heading1"/>
      </w:pPr>
      <w:r>
        <w:t>Contents and claims at a glance</w:t>
      </w:r>
    </w:p>
    <w:tbl>
      <w:tblPr>
        <w:tblStyle w:val="TableGrid"/>
        <w:tblW w:type="dxa" w:w="8460"/>
        <w:jc w:val="center"/>
        <w:tblLayout w:type="fixed"/>
        <w:tblLook w:firstColumn="1" w:firstRow="1" w:lastColumn="0" w:lastRow="0" w:noHBand="0" w:noVBand="1" w:val="04A0"/>
        <w:tblInd w:w="120" w:type="dxa"/>
      </w:tblPr>
      <w:tblGrid>
        <w:gridCol w:w="900"/>
        <w:gridCol w:w="2700"/>
        <w:gridCol w:w="4860"/>
      </w:tblGrid>
      <w:tr>
        <w:trPr>
          <w:tblHeader w:val="true"/>
        </w:trPr>
        <w:tc>
          <w:tcPr>
            <w:tcW w:type="dxa" w:w="900"/>
            <w:tcMar>
              <w:top w:w="80" w:type="dxa"/>
              <w:start w:w="120" w:type="dxa"/>
              <w:bottom w:w="80" w:type="dxa"/>
              <w:end w:w="120" w:type="dxa"/>
            </w:tcMar>
            <w:vAlign w:val="center"/>
            <w:shd w:fill="F2F4F7"/>
          </w:tcPr>
          <w:p>
            <w:pPr>
              <w:spacing w:after="0"/>
            </w:pPr>
            <w:r>
              <w:rPr>
                <w:rFonts w:ascii="Aptos" w:hAnsi="Aptos"/>
                <w:b/>
                <w:i w:val="0"/>
                <w:color w:val="17365D"/>
                <w:sz w:val="18"/>
              </w:rPr>
              <w:t>Section</w:t>
            </w:r>
          </w:p>
        </w:tc>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8"/>
              </w:rPr>
              <w:t>Question answered</w:t>
            </w:r>
          </w:p>
        </w:tc>
        <w:tc>
          <w:tcPr>
            <w:tcW w:type="dxa" w:w="4860"/>
            <w:tcMar>
              <w:top w:w="80" w:type="dxa"/>
              <w:start w:w="120" w:type="dxa"/>
              <w:bottom w:w="80" w:type="dxa"/>
              <w:end w:w="120" w:type="dxa"/>
            </w:tcMar>
            <w:vAlign w:val="center"/>
            <w:shd w:fill="F2F4F7"/>
          </w:tcPr>
          <w:p>
            <w:pPr>
              <w:spacing w:after="0"/>
            </w:pPr>
            <w:r>
              <w:rPr>
                <w:rFonts w:ascii="Aptos" w:hAnsi="Aptos"/>
                <w:b/>
                <w:i w:val="0"/>
                <w:color w:val="17365D"/>
                <w:sz w:val="18"/>
              </w:rPr>
              <w:t>Evidence</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1</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What the tool does</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Input, analysis stages, calls and outputs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2</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What is actually run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Built-in BLAST scans; optional ISEScan, AMRFinderPlus and IntegronFinder</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3</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Expert-rule architecture</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Human-readable YAML, schema validation and extension workflow</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4</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Worked Tn1 definition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Grammar, thresholds, exact naming and variants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5</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Validation design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Real positive controls, natural fragments, variants and negative controls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6</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Real-accession evidence</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locus map, locus table, hierarchy and component ledger for every reviewed definition</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7</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Arbitrary-sequence demonstration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Three distinct loci recovered from one 44.6 kb contig</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8</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Limitations and next work</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What is proven, what remains expert review, and what is not claimed</w:t>
            </w:r>
          </w:p>
        </w:tc>
      </w:tr>
    </w:tbl>
    <w:p>
      <w:pPr>
        <w:spacing w:after="0"/>
      </w:pPr>
    </w:p>
    <w:p>
      <w:pPr>
        <w:pStyle w:val="Heading2"/>
      </w:pPr>
      <w:r>
        <w:t>What this report demonstrates</w:t>
      </w:r>
    </w:p>
    <w:p>
      <w:pPr>
        <w:pStyle w:val="ListBullet"/>
        <w:spacing w:after="80" w:line="264" w:lineRule="auto"/>
      </w:pPr>
      <w:r>
        <w:rPr>
          <w:rFonts w:ascii="Aptos" w:hAnsi="Aptos"/>
          <w:b w:val="0"/>
          <w:i w:val="0"/>
          <w:color w:val="17212B"/>
          <w:sz w:val="20"/>
        </w:rPr>
        <w:t>An arbitrary multi-FASTA input can be scanned without pre-existing annotations.</w:t>
      </w:r>
    </w:p>
    <w:p>
      <w:pPr>
        <w:pStyle w:val="ListBullet"/>
        <w:spacing w:after="80" w:line="264" w:lineRule="auto"/>
      </w:pPr>
      <w:r>
        <w:rPr>
          <w:rFonts w:ascii="Aptos" w:hAnsi="Aptos"/>
          <w:b w:val="0"/>
          <w:i w:val="0"/>
          <w:color w:val="17212B"/>
          <w:sz w:val="20"/>
        </w:rPr>
        <w:t>Tn1/Tn2/Tn3 components are detected independently and assembled using an explicit component grammar.</w:t>
      </w:r>
    </w:p>
    <w:p>
      <w:pPr>
        <w:pStyle w:val="ListBullet"/>
        <w:spacing w:after="80" w:line="264" w:lineRule="auto"/>
      </w:pPr>
      <w:r>
        <w:rPr>
          <w:rFonts w:ascii="Aptos" w:hAnsi="Aptos"/>
          <w:b w:val="0"/>
          <w:i w:val="0"/>
          <w:color w:val="17212B"/>
          <w:sz w:val="20"/>
        </w:rPr>
        <w:t>A complete locus is classified from its component grammar and categorical tnpR/tnpA backbone haplotype; a whole-element comparison is secondary confirmation.</w:t>
      </w:r>
    </w:p>
    <w:p>
      <w:pPr>
        <w:pStyle w:val="ListBullet"/>
        <w:spacing w:after="80" w:line="264" w:lineRule="auto"/>
      </w:pPr>
      <w:r>
        <w:rPr>
          <w:rFonts w:ascii="Aptos" w:hAnsi="Aptos"/>
          <w:b w:val="0"/>
          <w:i w:val="0"/>
          <w:color w:val="17212B"/>
          <w:sz w:val="20"/>
        </w:rPr>
        <w:t>Every result can be inspected as a locus map, a locus table, the original hierarchy view, JSON, GFF3 and CellGen format.</w:t>
      </w:r>
    </w:p>
    <w:p>
      <w:pPr>
        <w:pStyle w:val="ListBullet"/>
        <w:spacing w:after="80" w:line="264" w:lineRule="auto"/>
      </w:pPr>
      <w:r>
        <w:rPr>
          <w:rFonts w:ascii="Aptos" w:hAnsi="Aptos"/>
          <w:b w:val="0"/>
          <w:i w:val="0"/>
          <w:color w:val="17212B"/>
          <w:sz w:val="20"/>
        </w:rPr>
        <w:t>The seven reviewed accession definitions produce complete component grammars and exact declared calls; pEK499 produces two retained partial Tn2-like fragments rather than an invented complete Tn2.</w:t>
      </w:r>
    </w:p>
    <w:p>
      <w:pPr>
        <w:pStyle w:val="Heading2"/>
      </w:pPr>
      <w:r>
        <w:t>Important interpretation</w:t>
      </w:r>
    </w:p>
    <w:p>
      <w:pPr>
        <w:keepNext w:val="0"/>
        <w:spacing w:before="0" w:after="120" w:line="264" w:lineRule="auto"/>
      </w:pPr>
      <w:r>
        <w:rPr>
          <w:rFonts w:ascii="Aptos" w:hAnsi="Aptos"/>
          <w:b w:val="0"/>
          <w:i w:val="0"/>
          <w:color w:val="17212B"/>
          <w:sz w:val="21"/>
        </w:rPr>
        <w:t>The seven exact accession runs are positive controls against the sequences used to define those names. They prove correct rule execution, component recovery and output generation. They do not by themselves estimate sensitivity on a broad independent population. The natural pEK499 fragments, synthetic variation tests and related-element negative controls test behaviour away from exact references.</w:t>
      </w:r>
    </w:p>
    <w:p>
      <w:pPr>
        <w:sectPr>
          <w:headerReference w:type="default" r:id="rId11"/>
          <w:footerReference w:type="default" r:id="rId12"/>
          <w:pgSz w:w="12240" w:h="15840"/>
          <w:pgMar w:top="1152" w:right="1224" w:bottom="1080" w:left="1224" w:header="360" w:footer="360" w:gutter="0"/>
          <w:cols w:space="720"/>
          <w:docGrid w:linePitch="360"/>
        </w:sectPr>
      </w:pPr>
    </w:p>
    <w:p>
      <w:pPr>
        <w:pStyle w:val="Heading1"/>
      </w:pPr>
      <w:r>
        <w:t>1. What the tool does</w:t>
      </w:r>
    </w:p>
    <w:p>
      <w:pPr>
        <w:keepNext w:val="0"/>
        <w:spacing w:before="0" w:after="120" w:line="264" w:lineRule="auto"/>
      </w:pPr>
      <w:r>
        <w:rPr>
          <w:rFonts w:ascii="Aptos" w:hAnsi="Aptos"/>
          <w:b w:val="0"/>
          <w:i w:val="0"/>
          <w:color w:val="17212B"/>
          <w:sz w:val="21"/>
        </w:rPr>
        <w:t>Matryoshka is a per-sequence nested mobile-element annotator. For this report, its validated task is to find Tn1/Tn2/Tn3-group components in a FASTA sequence, assemble candidate loci, assign a reviewed name only when the evidence satisfies the expert rules, and render the same evidence in several complementary formats.</w:t>
      </w:r>
    </w:p>
    <w:p>
      <w:pPr>
        <w:pStyle w:val="Heading2"/>
      </w:pPr>
      <w:r>
        <w:t>Input to output</w:t>
      </w:r>
    </w:p>
    <w:tbl>
      <w:tblPr>
        <w:tblStyle w:val="TableGrid"/>
        <w:tblW w:type="dxa" w:w="8460"/>
        <w:jc w:val="center"/>
        <w:tblLayout w:type="fixed"/>
        <w:tblLook w:firstColumn="1" w:firstRow="1" w:lastColumn="0" w:lastRow="0" w:noHBand="0" w:noVBand="1" w:val="04A0"/>
        <w:tblInd w:w="120" w:type="dxa"/>
      </w:tblPr>
      <w:tblGrid>
        <w:gridCol w:w="700"/>
        <w:gridCol w:w="2100"/>
        <w:gridCol w:w="5660"/>
      </w:tblGrid>
      <w:tr>
        <w:trPr>
          <w:tblHeader w:val="true"/>
        </w:trPr>
        <w:tc>
          <w:tcPr>
            <w:tcW w:type="dxa" w:w="700"/>
            <w:tcMar>
              <w:top w:w="80" w:type="dxa"/>
              <w:start w:w="120" w:type="dxa"/>
              <w:bottom w:w="80" w:type="dxa"/>
              <w:end w:w="120" w:type="dxa"/>
            </w:tcMar>
            <w:vAlign w:val="center"/>
            <w:shd w:fill="F2F4F7"/>
          </w:tcPr>
          <w:p>
            <w:pPr>
              <w:spacing w:after="0"/>
            </w:pPr>
            <w:r>
              <w:rPr>
                <w:rFonts w:ascii="Aptos" w:hAnsi="Aptos"/>
                <w:b/>
                <w:i w:val="0"/>
                <w:color w:val="17365D"/>
                <w:sz w:val="18"/>
              </w:rPr>
              <w:t>Stage</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8"/>
              </w:rPr>
              <w:t>Operation</w:t>
            </w:r>
          </w:p>
        </w:tc>
        <w:tc>
          <w:tcPr>
            <w:tcW w:type="dxa" w:w="5660"/>
            <w:tcMar>
              <w:top w:w="80" w:type="dxa"/>
              <w:start w:w="120" w:type="dxa"/>
              <w:bottom w:w="80" w:type="dxa"/>
              <w:end w:w="120" w:type="dxa"/>
            </w:tcMar>
            <w:vAlign w:val="center"/>
            <w:shd w:fill="F2F4F7"/>
          </w:tcPr>
          <w:p>
            <w:pPr>
              <w:spacing w:after="0"/>
            </w:pPr>
            <w:r>
              <w:rPr>
                <w:rFonts w:ascii="Aptos" w:hAnsi="Aptos"/>
                <w:b/>
                <w:i w:val="0"/>
                <w:color w:val="17365D"/>
                <w:sz w:val="18"/>
              </w:rPr>
              <w:t>Why it matters</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Read FASTA</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One or many contigs or complete sequences; no feature annotation is required.</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2</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Detect components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Scan independently for 38 bp terminal inverted repeats, blaTEM, tnpR, res and tnpA.</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Assemble loci</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Group nearby features and test the required order and orientation on either strand.</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4</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Classify by expert rules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Assign tnpR and tnpA to declared profile groups, then match their categorical backbone haplotype.</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5</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Compare references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Optionally confirm an exact reviewed definition and record secondary closest-reference context.</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6</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Write outputs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JSON, GFF3, CellGen, hierarchy SVG, locus map, locus table and proof ledger.</w:t>
            </w:r>
          </w:p>
        </w:tc>
      </w:tr>
    </w:tbl>
    <w:p>
      <w:pPr>
        <w:spacing w:after="0"/>
      </w:pPr>
    </w:p>
    <w:p>
      <w:pPr>
        <w:pStyle w:val="Heading2"/>
      </w:pPr>
      <w:r>
        <w:t>Call classes</w:t>
      </w:r>
    </w:p>
    <w:tbl>
      <w:tblPr>
        <w:tblStyle w:val="TableGrid"/>
        <w:tblW w:type="dxa" w:w="8460"/>
        <w:jc w:val="center"/>
        <w:tblLayout w:type="fixed"/>
        <w:tblLook w:firstColumn="1" w:firstRow="1" w:lastColumn="0" w:lastRow="0" w:noHBand="0" w:noVBand="1" w:val="04A0"/>
        <w:tblInd w:w="120" w:type="dxa"/>
      </w:tblPr>
      <w:tblGrid>
        <w:gridCol w:w="2800"/>
        <w:gridCol w:w="5660"/>
      </w:tblGrid>
      <w:tr>
        <w:trPr>
          <w:tblHeader w:val="true"/>
        </w:trPr>
        <w:tc>
          <w:tcPr>
            <w:tcW w:type="dxa" w:w="2800"/>
            <w:tcMar>
              <w:top w:w="80" w:type="dxa"/>
              <w:start w:w="120" w:type="dxa"/>
              <w:bottom w:w="80" w:type="dxa"/>
              <w:end w:w="120" w:type="dxa"/>
            </w:tcMar>
            <w:vAlign w:val="center"/>
            <w:shd w:fill="F2F4F7"/>
          </w:tcPr>
          <w:p>
            <w:pPr>
              <w:spacing w:after="0"/>
            </w:pPr>
            <w:r>
              <w:rPr>
                <w:rFonts w:ascii="Aptos" w:hAnsi="Aptos"/>
                <w:b/>
                <w:i w:val="0"/>
                <w:color w:val="17365D"/>
                <w:sz w:val="18"/>
              </w:rPr>
              <w:t>Visible result</w:t>
            </w:r>
          </w:p>
        </w:tc>
        <w:tc>
          <w:tcPr>
            <w:tcW w:type="dxa" w:w="5660"/>
            <w:tcMar>
              <w:top w:w="80" w:type="dxa"/>
              <w:start w:w="120" w:type="dxa"/>
              <w:bottom w:w="80" w:type="dxa"/>
              <w:end w:w="120" w:type="dxa"/>
            </w:tcMar>
            <w:vAlign w:val="center"/>
            <w:shd w:fill="F2F4F7"/>
          </w:tcPr>
          <w:p>
            <w:pPr>
              <w:spacing w:after="0"/>
            </w:pPr>
            <w:r>
              <w:rPr>
                <w:rFonts w:ascii="Aptos" w:hAnsi="Aptos"/>
                <w:b/>
                <w:i w:val="0"/>
                <w:color w:val="17365D"/>
                <w:sz w:val="18"/>
              </w:rPr>
              <w:t>Meaning</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 / Tn2 / Tn3 or named subtype</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Complete component grammar and exact match to a reviewed declared definition.</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Tn1-like / Tn2-like / Tn3-like</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Complete grammar and a declared tnpR/tnpA backbone haplotype, without requiring a complete-element match.</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Tn1/2/3 fragment</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At least 400 aligned reference bases, but an end or required component is missing or the grammar is incomplete.</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Tn1/Tn2/Tn3-group mosaic</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Complete grammar and confident backbone groups, but their combination is not a declared Tn1, Tn2 or Tn3 haplotype.</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Unresolved Tn1/Tn2/Tn3-group unit</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The group grammar is supported but a required backbone profile group is missing or ambiguous.</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No Tn1/Tn2/Tn3 call</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Some shared components may still be annotated and drawn, but the element-level rule is not satisfied.</w:t>
            </w:r>
          </w:p>
        </w:tc>
      </w:tr>
    </w:tbl>
    <w:p>
      <w:pPr>
        <w:spacing w:after="0"/>
      </w:pPr>
    </w:p>
    <w:p>
      <w:pPr>
        <w:sectPr>
          <w:headerReference w:type="default" r:id="rId13"/>
          <w:footerReference w:type="default" r:id="rId14"/>
          <w:pgSz w:w="12240" w:h="15840"/>
          <w:pgMar w:top="1152" w:right="1224" w:bottom="1080" w:left="1224" w:header="360" w:footer="360" w:gutter="0"/>
          <w:cols w:space="720"/>
          <w:docGrid w:linePitch="360"/>
        </w:sectPr>
      </w:pPr>
    </w:p>
    <w:p>
      <w:pPr>
        <w:pStyle w:val="Heading1"/>
      </w:pPr>
      <w:r>
        <w:t>2. What is actually run</w:t>
      </w:r>
    </w:p>
    <w:p>
      <w:pPr>
        <w:pStyle w:val="Heading2"/>
      </w:pPr>
      <w:r>
        <w:t>Built-in analysis</w:t>
      </w:r>
    </w:p>
    <w:p>
      <w:pPr>
        <w:keepNext w:val="0"/>
        <w:spacing w:before="0" w:after="120" w:line="264" w:lineRule="auto"/>
      </w:pPr>
      <w:r>
        <w:rPr>
          <w:rFonts w:ascii="Aptos" w:hAnsi="Aptos"/>
          <w:b w:val="0"/>
          <w:i w:val="0"/>
          <w:color w:val="17212B"/>
          <w:sz w:val="21"/>
        </w:rPr>
        <w:t>The command scans independently for the component sequences and assembles their collinear matches across substitutions, insertions and deletions. The expert-rule classifier uses those components to establish the family and type. Under the default validated profile, a separate whole-element comparison is then attached as confirmation or context. The tn123-components profile omits that complete-element lookup entirely.</w:t>
      </w:r>
    </w:p>
    <w:p>
      <w:pPr>
        <w:pStyle w:val="Heading2"/>
      </w:pPr>
      <w:r>
        <w:t>Optional detector layer</w:t>
      </w:r>
    </w:p>
    <w:p>
      <w:pPr>
        <w:keepNext w:val="0"/>
        <w:spacing w:before="0" w:after="120" w:line="264" w:lineRule="auto"/>
      </w:pPr>
      <w:r>
        <w:rPr>
          <w:rFonts w:ascii="Aptos" w:hAnsi="Aptos"/>
          <w:b w:val="0"/>
          <w:i w:val="0"/>
          <w:color w:val="17212B"/>
          <w:sz w:val="21"/>
        </w:rPr>
        <w:t>The --detectors option controls additional programs, not the built-in Tn1/Tn2/Tn3 scan. The report bundles were generated with --detectors none, which means ISEScan, AMRFinderPlus and IntegronFinder were not launched. Built-in BLAST detection and the expert-rule classifier still ran. With --detectors available or --detectors all, those programs add broader IS, AMR-gene and integron evidence.</w:t>
      </w:r>
    </w:p>
    <w:tbl>
      <w:tblPr>
        <w:tblStyle w:val="TableGrid"/>
        <w:tblW w:type="dxa" w:w="8460"/>
        <w:jc w:val="center"/>
        <w:tblLayout w:type="fixed"/>
        <w:tblLook w:firstColumn="1" w:firstRow="1" w:lastColumn="0" w:lastRow="0" w:noHBand="0" w:noVBand="1" w:val="04A0"/>
        <w:tblInd w:w="120" w:type="dxa"/>
      </w:tblPr>
      <w:tblGrid>
        <w:gridCol w:w="2600"/>
        <w:gridCol w:w="4100"/>
        <w:gridCol w:w="1760"/>
      </w:tblGrid>
      <w:tr>
        <w:trPr>
          <w:tblHeader w:val="true"/>
        </w:trPr>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8"/>
              </w:rPr>
              <w:t>Analysis</w:t>
            </w:r>
          </w:p>
        </w:tc>
        <w:tc>
          <w:tcPr>
            <w:tcW w:type="dxa" w:w="4100"/>
            <w:tcMar>
              <w:top w:w="80" w:type="dxa"/>
              <w:start w:w="120" w:type="dxa"/>
              <w:bottom w:w="80" w:type="dxa"/>
              <w:end w:w="120" w:type="dxa"/>
            </w:tcMar>
            <w:vAlign w:val="center"/>
            <w:shd w:fill="F2F4F7"/>
          </w:tcPr>
          <w:p>
            <w:pPr>
              <w:spacing w:after="0"/>
            </w:pPr>
            <w:r>
              <w:rPr>
                <w:rFonts w:ascii="Aptos" w:hAnsi="Aptos"/>
                <w:b/>
                <w:i w:val="0"/>
                <w:color w:val="17365D"/>
                <w:sz w:val="18"/>
              </w:rPr>
              <w:t>Role</w:t>
            </w:r>
          </w:p>
        </w:tc>
        <w:tc>
          <w:tcPr>
            <w:tcW w:type="dxa" w:w="1760"/>
            <w:tcMar>
              <w:top w:w="80" w:type="dxa"/>
              <w:start w:w="120" w:type="dxa"/>
              <w:bottom w:w="80" w:type="dxa"/>
              <w:end w:w="120" w:type="dxa"/>
            </w:tcMar>
            <w:vAlign w:val="center"/>
            <w:shd w:fill="F2F4F7"/>
          </w:tcPr>
          <w:p>
            <w:pPr>
              <w:spacing w:after="0"/>
            </w:pPr>
            <w:r>
              <w:rPr>
                <w:rFonts w:ascii="Aptos" w:hAnsi="Aptos"/>
                <w:b/>
                <w:i w:val="0"/>
                <w:color w:val="17365D"/>
                <w:sz w:val="18"/>
              </w:rPr>
              <w:t>Used for this report</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BLAST component scan</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Detect IRL/IRR, blaTEM, tnpR, res and tnpA independently</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 primary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Component assembler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Test count, order, orientation and ends</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Expert-rule classifier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Assign family/type-like, mosaic, fragment or unresolved result from the categorical backbone haplotype</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 primary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BLAST whole-locus comparison</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Optionally confirm an exact reviewed definition or add closest-reference context</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 secondary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Boundary/direct-repeat check</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Record evidence immediately outside inferred ends when flanks exist</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ISEScan / AMRFinderPlus / IntegronFinder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Broader optional component discovery</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Not launched</w:t>
            </w:r>
          </w:p>
        </w:tc>
      </w:tr>
    </w:tbl>
    <w:p>
      <w:pPr>
        <w:spacing w:after="0"/>
      </w:pPr>
    </w:p>
    <w:p>
      <w:pPr>
        <w:pStyle w:val="Heading2"/>
      </w:pPr>
      <w:r>
        <w:t>Reproducible commands</w:t>
      </w:r>
    </w:p>
    <w:p>
      <w:pPr>
        <w:spacing w:before="80" w:after="160" w:line="240" w:lineRule="auto"/>
        <w:ind w:left="259" w:right="259"/>
        <w:shd w:fill="EEF5FB"/>
      </w:pPr>
      <w:r>
        <w:rPr>
          <w:rFonts w:ascii="Aptos Mono" w:hAnsi="Aptos Mono"/>
          <w:b w:val="0"/>
          <w:i w:val="0"/>
          <w:color w:val="17212B"/>
          <w:sz w:val="16"/>
        </w:rPr>
        <w:t># Prove discovery without complete-element lookup</w:t>
        <w:br/>
        <w:t>matryoshka run arbitrary-demo.fasta --out results/component-only \</w:t>
        <w:br/>
        <w:t xml:space="preserve">  --profile tn123-components --detectors none</w:t>
        <w:br/>
        <w:br/>
        <w:t># Seven reviewed definitions with secondary exact confirmation</w:t>
        <w:br/>
        <w:t>matryoshka run matryoshka/references/tn1_tn2_tn3.fasta \</w:t>
        <w:br/>
        <w:t xml:space="preserve">  --out results/tn123-reviewed --detectors none</w:t>
        <w:br/>
        <w:br/>
        <w:t># Export the rules for expert review</w:t>
        <w:br/>
        <w:t>matryoshka definitions --format markdown --out tn123-definitions-review.md</w:t>
      </w:r>
    </w:p>
    <w:p>
      <w:pPr>
        <w:keepNext w:val="0"/>
        <w:spacing w:before="160" w:after="80" w:line="264" w:lineRule="auto"/>
      </w:pPr>
      <w:r>
        <w:rPr>
          <w:rFonts w:ascii="Aptos" w:hAnsi="Aptos"/>
          <w:b/>
          <w:i w:val="0"/>
          <w:color w:val="17365D"/>
          <w:sz w:val="23"/>
        </w:rPr>
        <w:t>Reproducibility metadata</w:t>
      </w:r>
    </w:p>
    <w:p>
      <w:pPr>
        <w:keepNext w:val="0"/>
        <w:spacing w:before="0" w:after="120" w:line="264" w:lineRule="auto"/>
      </w:pPr>
      <w:r>
        <w:rPr>
          <w:rFonts w:ascii="Aptos" w:hAnsi="Aptos"/>
          <w:b w:val="0"/>
          <w:i w:val="0"/>
          <w:color w:val="17212B"/>
          <w:sz w:val="21"/>
        </w:rPr>
        <w:t>Each result directory includes run.json, the software and definition versions, reference profile, detector selection, input checksum, runtime parameters and a direct index of every locus map/table pair.</w:t>
      </w:r>
    </w:p>
    <w:p>
      <w:pPr>
        <w:sectPr>
          <w:headerReference w:type="default" r:id="rId15"/>
          <w:footerReference w:type="default" r:id="rId16"/>
          <w:pgSz w:w="12240" w:h="15840"/>
          <w:pgMar w:top="1152" w:right="1224" w:bottom="1080" w:left="1224" w:header="360" w:footer="360" w:gutter="0"/>
          <w:cols w:space="720"/>
          <w:docGrid w:linePitch="360"/>
        </w:sectPr>
      </w:pPr>
    </w:p>
    <w:p>
      <w:pPr>
        <w:pStyle w:val="Heading1"/>
      </w:pPr>
      <w:r>
        <w:t>3. How the expert rules are specified</w:t>
      </w:r>
    </w:p>
    <w:p>
      <w:pPr>
        <w:keepNext w:val="0"/>
        <w:spacing w:before="0" w:after="120" w:line="264" w:lineRule="auto"/>
      </w:pPr>
      <w:r>
        <w:rPr>
          <w:rFonts w:ascii="Aptos" w:hAnsi="Aptos"/>
          <w:b w:val="0"/>
          <w:i w:val="0"/>
          <w:color w:val="17212B"/>
          <w:sz w:val="21"/>
        </w:rPr>
        <w:t>The biological definitions are data, not a collection of element-specific if-statements hidden in the Python source. The authoritative file is matryoshka/tn123_definitions.yaml. A JSON Schema checks its required structure, and the same content can be exported as YAML, JSON or a formatted Markdown review document.</w:t>
      </w:r>
    </w:p>
    <w:p>
      <w:pPr>
        <w:pStyle w:val="Heading2"/>
      </w:pPr>
      <w:r>
        <w:t>Definition structure</w:t>
      </w:r>
    </w:p>
    <w:tbl>
      <w:tblPr>
        <w:tblStyle w:val="TableGrid"/>
        <w:tblW w:type="dxa" w:w="8460"/>
        <w:jc w:val="center"/>
        <w:tblLayout w:type="fixed"/>
        <w:tblLook w:firstColumn="1" w:firstRow="1" w:lastColumn="0" w:lastRow="0" w:noHBand="0" w:noVBand="1" w:val="04A0"/>
        <w:tblInd w:w="120" w:type="dxa"/>
      </w:tblPr>
      <w:tblGrid>
        <w:gridCol w:w="2400"/>
        <w:gridCol w:w="6060"/>
      </w:tblGrid>
      <w:tr>
        <w:trPr>
          <w:tblHeader w:val="true"/>
        </w:trPr>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8"/>
              </w:rPr>
              <w:t>Block</w:t>
            </w:r>
          </w:p>
        </w:tc>
        <w:tc>
          <w:tcPr>
            <w:tcW w:type="dxa" w:w="6060"/>
            <w:tcMar>
              <w:top w:w="80" w:type="dxa"/>
              <w:start w:w="120" w:type="dxa"/>
              <w:bottom w:w="80" w:type="dxa"/>
              <w:end w:w="120" w:type="dxa"/>
            </w:tcMar>
            <w:vAlign w:val="center"/>
            <w:shd w:fill="F2F4F7"/>
          </w:tcPr>
          <w:p>
            <w:pPr>
              <w:spacing w:after="0"/>
            </w:pPr>
            <w:r>
              <w:rPr>
                <w:rFonts w:ascii="Aptos" w:hAnsi="Aptos"/>
                <w:b/>
                <w:i w:val="0"/>
                <w:color w:val="17365D"/>
                <w:sz w:val="18"/>
              </w:rPr>
              <w:t>Human meaning</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family</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Shared biological description, expected terminal-IR length and target-site duplication length.</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grammar</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Required component counts and forward/reverse order.</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component_detection</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Identity, coverage, length and chaining thresholds for each component class.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classification</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Categorical backbone-haplotype rules, exact-reference confirmation and fragment rules.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types</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Canonical Tn1, Tn2 and Tn3 sequences and their annotated component layouts.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definitions</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Reviewable named sequences/subtypes, accession provenance, expert description and differences from parent.</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related_element_policy</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Explicit negative-control policy to prevent shared components being over-named.</w:t>
            </w:r>
          </w:p>
        </w:tc>
      </w:tr>
    </w:tbl>
    <w:p>
      <w:pPr>
        <w:spacing w:after="0"/>
      </w:pPr>
    </w:p>
    <w:p>
      <w:pPr>
        <w:pStyle w:val="Heading2"/>
      </w:pPr>
      <w:r>
        <w:t>Shared Tn1/Tn2/Tn3 grammar</w:t>
      </w:r>
    </w:p>
    <w:p>
      <w:pPr>
        <w:spacing w:before="80" w:after="160" w:line="240" w:lineRule="auto"/>
        <w:ind w:left="259" w:right="259"/>
        <w:shd w:fill="EEF5FB"/>
      </w:pPr>
      <w:r>
        <w:rPr>
          <w:rFonts w:ascii="Aptos Mono" w:hAnsi="Aptos Mono"/>
          <w:b w:val="0"/>
          <w:i w:val="0"/>
          <w:color w:val="17212B"/>
          <w:sz w:val="16"/>
        </w:rPr>
        <w:t>terminal IR -&gt; blaTEM -&gt; tnpR -&gt; res -&gt; tnpA -&gt; terminal IR</w:t>
        <w:br/>
        <w:t xml:space="preserve">    38 bp       one       one      one     one        38 bp</w:t>
      </w:r>
    </w:p>
    <w:p>
      <w:pPr>
        <w:keepNext w:val="0"/>
        <w:spacing w:before="0" w:after="120" w:line="264" w:lineRule="auto"/>
      </w:pPr>
      <w:r>
        <w:rPr>
          <w:rFonts w:ascii="Aptos" w:hAnsi="Aptos"/>
          <w:b w:val="0"/>
          <w:i w:val="0"/>
          <w:color w:val="17212B"/>
          <w:sz w:val="21"/>
        </w:rPr>
        <w:t>The reverse-complement copy must contain the corresponding reversed order. This establishes group membership, but it does not distinguish Tn1, Tn2 and Tn3 because their structures and much of their sequence are shared.</w:t>
      </w:r>
    </w:p>
    <w:p>
      <w:pPr>
        <w:pStyle w:val="Heading2"/>
      </w:pPr>
      <w:r>
        <w:t>Current thresholds</w:t>
      </w:r>
    </w:p>
    <w:tbl>
      <w:tblPr>
        <w:tblStyle w:val="TableGrid"/>
        <w:tblW w:type="dxa" w:w="8460"/>
        <w:jc w:val="center"/>
        <w:tblLayout w:type="fixed"/>
        <w:tblLook w:firstColumn="1" w:firstRow="1" w:lastColumn="0" w:lastRow="0" w:noHBand="0" w:noVBand="1" w:val="04A0"/>
        <w:tblInd w:w="120" w:type="dxa"/>
      </w:tblPr>
      <w:tblGrid>
        <w:gridCol w:w="2600"/>
        <w:gridCol w:w="5860"/>
      </w:tblGrid>
      <w:tr>
        <w:trPr>
          <w:tblHeader w:val="true"/>
        </w:trPr>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7"/>
              </w:rPr>
              <w:t>Decision</w:t>
            </w:r>
          </w:p>
        </w:tc>
        <w:tc>
          <w:tcPr>
            <w:tcW w:type="dxa" w:w="5860"/>
            <w:tcMar>
              <w:top w:w="80" w:type="dxa"/>
              <w:start w:w="120" w:type="dxa"/>
              <w:bottom w:w="80" w:type="dxa"/>
              <w:end w:w="120" w:type="dxa"/>
            </w:tcMar>
            <w:vAlign w:val="center"/>
            <w:shd w:fill="F2F4F7"/>
          </w:tcPr>
          <w:p>
            <w:pPr>
              <w:spacing w:after="0"/>
            </w:pPr>
            <w:r>
              <w:rPr>
                <w:rFonts w:ascii="Aptos" w:hAnsi="Aptos"/>
                <w:b/>
                <w:i w:val="0"/>
                <w:color w:val="17365D"/>
                <w:sz w:val="17"/>
              </w:rPr>
              <w:t>Rule</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7"/>
              </w:rPr>
              <w:t>Exact declared definition</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7"/>
              </w:rPr>
              <w:t>100% identity and coverage; both ends; zero mismatches or indels; complete grammar.</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7"/>
              </w:rPr>
              <w:t>Individual gene profile</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7"/>
              </w:rPr>
              <w:t>tnpR and tnpA are each placed in a group at &gt;=90%, with a &gt;=0.5-point group margin.</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7"/>
              </w:rPr>
              <w:t>Rule-based type</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7"/>
              </w:rPr>
              <w:t>Complete grammar plus a declared categorical pair: R13+A12 = Tn1; R2+A12 = Tn2; R13+A3 = Tn3.</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7"/>
              </w:rPr>
              <w:t>Mosaic or unresolved</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7"/>
              </w:rPr>
              <w:t>Another confident pair is mosaic; a missing or ambiguous group is unresolved. Scores are never averaged.</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7"/>
              </w:rPr>
              <w:t>Secondary reference</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7"/>
              </w:rPr>
              <w:t>&gt;=95% identity and &gt;=80% coverage; context or exact confirmation only.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7"/>
              </w:rPr>
              <w:t>Fragment</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7"/>
              </w:rPr>
              <w:t>At least 400 aligned reference bases; retained without a complete name.</w:t>
            </w:r>
          </w:p>
        </w:tc>
      </w:tr>
    </w:tbl>
    <w:p>
      <w:pPr>
        <w:spacing w:after="0"/>
      </w:pPr>
    </w:p>
    <w:p>
      <w:pPr>
        <w:sectPr>
          <w:headerReference w:type="default" r:id="rId17"/>
          <w:footerReference w:type="default" r:id="rId18"/>
          <w:pgSz w:w="12240" w:h="15840"/>
          <w:pgMar w:top="1152" w:right="1224" w:bottom="1080" w:left="1224" w:header="360" w:footer="360" w:gutter="0"/>
          <w:cols w:space="720"/>
          <w:docGrid w:linePitch="360"/>
        </w:sectPr>
      </w:pPr>
    </w:p>
    <w:p>
      <w:pPr>
        <w:pStyle w:val="Heading1"/>
      </w:pPr>
      <w:r>
        <w:t>4. Worked expert definition: Tn1</w:t>
      </w:r>
    </w:p>
    <w:p>
      <w:pPr>
        <w:keepNext w:val="0"/>
        <w:spacing w:before="0" w:after="80" w:line="264" w:lineRule="auto"/>
      </w:pPr>
      <w:r>
        <w:rPr>
          <w:rFonts w:ascii="Aptos" w:hAnsi="Aptos"/>
          <w:b/>
          <w:i w:val="0"/>
          <w:color w:val="17365D"/>
          <w:sz w:val="23"/>
        </w:rPr>
        <w:t>Human-readable rule</w:t>
      </w:r>
    </w:p>
    <w:p>
      <w:pPr>
        <w:keepNext w:val="0"/>
        <w:spacing w:before="0" w:after="120" w:line="264" w:lineRule="auto"/>
      </w:pPr>
      <w:r>
        <w:rPr>
          <w:rFonts w:ascii="Aptos" w:hAnsi="Aptos"/>
          <w:b w:val="0"/>
          <w:i w:val="0"/>
          <w:color w:val="17212B"/>
          <w:sz w:val="22"/>
        </w:rPr>
        <w:t>Call a Tn1-like candidate when the six required components are independently detected in the correct order, tnpR belongs to the shared Tn1/Tn3 profile group and tnpA belongs to the shared Tn1/Tn2 profile group. Upgrade that call to exact reviewed Tn1 only when an optional secondary comparison is a complete, gap-free and mismatch-free match to NC_008357. The canonical sequence carries blaTEM-2 as reported cargo; its allele does not determine the type.</w:t>
      </w:r>
    </w:p>
    <w:p>
      <w:pPr>
        <w:pStyle w:val="Heading2"/>
      </w:pPr>
      <w:r>
        <w:t>YAML representation used by the program</w:t>
      </w:r>
    </w:p>
    <w:p>
      <w:pPr>
        <w:spacing w:before="80" w:after="160" w:line="240" w:lineRule="auto"/>
        <w:ind w:left="259" w:right="259"/>
        <w:shd w:fill="EEF5FB"/>
      </w:pPr>
      <w:r>
        <w:rPr>
          <w:rFonts w:ascii="Aptos Mono" w:hAnsi="Aptos Mono"/>
          <w:b w:val="0"/>
          <w:i w:val="0"/>
          <w:color w:val="17212B"/>
          <w:sz w:val="14"/>
        </w:rPr>
        <w:t>classification:</w:t>
        <w:br/>
        <w:t xml:space="preserve">  type_assignment:</w:t>
        <w:br/>
        <w:t xml:space="preserve">    method: categorical backbone haplotype</w:t>
        <w:br/>
        <w:t xml:space="preserve">    required_discriminator_roles: [tnpR, tnpA]</w:t>
        <w:br/>
        <w:t xml:space="preserve">    role_profile_groups:</w:t>
        <w:br/>
        <w:t xml:space="preserve">      tnpR:</w:t>
        <w:br/>
        <w:t xml:space="preserve">        tnpR_Tn1_Tn3: [Tn1, Tn3]</w:t>
        <w:br/>
        <w:t xml:space="preserve">        tnpR_Tn2: [Tn2]</w:t>
        <w:br/>
        <w:t xml:space="preserve">      tnpA:</w:t>
        <w:br/>
        <w:t xml:space="preserve">        tnpA_Tn1_Tn2: [Tn1, Tn2]</w:t>
        <w:br/>
        <w:t xml:space="preserve">        tnpA_Tn3: [Tn3]</w:t>
        <w:br/>
        <w:t xml:space="preserve">    type_haplotypes:</w:t>
        <w:br/>
        <w:t xml:space="preserve">      Tn1: {tnpR: tnpR_Tn1_Tn3, tnpA: tnpA_Tn1_Tn2}</w:t>
        <w:br/>
        <w:t xml:space="preserve">      Tn2: {tnpR: tnpR_Tn2, tnpA: tnpA_Tn1_Tn2}</w:t>
        <w:br/>
        <w:t xml:space="preserve">      Tn3: {tnpR: tnpR_Tn1_Tn3, tnpA: tnpA_Tn3}</w:t>
        <w:br/>
        <w:t xml:space="preserve">    non_discriminator_roles: [blaTEM]</w:t>
        <w:br/>
        <w:t xml:space="preserve">  reference_comparison:</w:t>
        <w:br/>
        <w:t xml:space="preserve">    role: secondary context after rule-based classification</w:t>
        <w:br/>
        <w:br/>
        <w:t>types:</w:t>
        <w:br/>
        <w:t xml:space="preserve">  Tn1:</w:t>
        <w:br/>
        <w:t xml:space="preserve">    canonical_reference: Tn1_NC_008357</w:t>
        <w:br/>
        <w:t xml:space="preserve">    source_accession: NC_008357</w:t>
        <w:br/>
        <w:t xml:space="preserve">    components:</w:t>
        <w:br/>
        <w:t xml:space="preserve">      - {role: terminal_IR, name: IRL, start: 1, end: 38}</w:t>
        <w:br/>
        <w:t xml:space="preserve">      - {role: blaTEM, name: blaTEM-2, start: 148, end: 1008, strand: '-'}</w:t>
        <w:br/>
        <w:t xml:space="preserve">      - {role: tnpR, name: tnpR, start: 1191, end: 1748, strand: '-'}</w:t>
        <w:br/>
        <w:t xml:space="preserve">      - {role: res, name: res, start: 1754, end: 1867}</w:t>
        <w:br/>
        <w:t xml:space="preserve">      - {role: tnpA, name: tnpA, start: 1911, end: -34, strand: '+'}</w:t>
        <w:br/>
        <w:t xml:space="preserve">      - {role: terminal_IR, name: IRR, start: -38, end: -1}</w:t>
      </w:r>
    </w:p>
    <w:p>
      <w:pPr>
        <w:keepNext w:val="0"/>
        <w:spacing w:before="0" w:after="120" w:line="264" w:lineRule="auto"/>
      </w:pPr>
      <w:r>
        <w:rPr>
          <w:rFonts w:ascii="Aptos" w:hAnsi="Aptos"/>
          <w:b w:val="0"/>
          <w:i w:val="0"/>
          <w:color w:val="5B6570"/>
          <w:sz w:val="19"/>
        </w:rPr>
        <w:t>Negative coordinates count from the right-hand end of the reference. This keeps the component layout readable and reusable for definitions of different lengths.</w:t>
      </w:r>
    </w:p>
    <w:p>
      <w:pPr>
        <w:pStyle w:val="Heading2"/>
      </w:pPr>
      <w:r>
        <w:t>How to add or revise a subtype</w:t>
      </w:r>
    </w:p>
    <w:p>
      <w:pPr>
        <w:pStyle w:val="ListBullet"/>
        <w:spacing w:after="80" w:line="264" w:lineRule="auto"/>
      </w:pPr>
      <w:r>
        <w:rPr>
          <w:rFonts w:ascii="Aptos" w:hAnsi="Aptos"/>
          <w:b w:val="0"/>
          <w:i w:val="0"/>
          <w:color w:val="17212B"/>
          <w:sz w:val="20"/>
        </w:rPr>
        <w:t>Add the public reference sequence and provenance.</w:t>
      </w:r>
    </w:p>
    <w:p>
      <w:pPr>
        <w:pStyle w:val="ListBullet"/>
        <w:spacing w:after="80" w:line="264" w:lineRule="auto"/>
      </w:pPr>
      <w:r>
        <w:rPr>
          <w:rFonts w:ascii="Aptos" w:hAnsi="Aptos"/>
          <w:b w:val="0"/>
          <w:i w:val="0"/>
          <w:color w:val="17212B"/>
          <w:sz w:val="20"/>
        </w:rPr>
        <w:t>Add a definitions entry containing the parent type, visible name, accession, review status, expert rule and known differences.</w:t>
      </w:r>
    </w:p>
    <w:p>
      <w:pPr>
        <w:pStyle w:val="ListBullet"/>
        <w:spacing w:after="80" w:line="264" w:lineRule="auto"/>
      </w:pPr>
      <w:r>
        <w:rPr>
          <w:rFonts w:ascii="Aptos" w:hAnsi="Aptos"/>
          <w:b w:val="0"/>
          <w:i w:val="0"/>
          <w:color w:val="17212B"/>
          <w:sz w:val="20"/>
        </w:rPr>
        <w:t>Declare any reviewed inserted or nested context under additional_features.</w:t>
      </w:r>
    </w:p>
    <w:p>
      <w:pPr>
        <w:pStyle w:val="ListBullet"/>
        <w:spacing w:after="80" w:line="264" w:lineRule="auto"/>
      </w:pPr>
      <w:r>
        <w:rPr>
          <w:rFonts w:ascii="Aptos" w:hAnsi="Aptos"/>
          <w:b w:val="0"/>
          <w:i w:val="0"/>
          <w:color w:val="17212B"/>
          <w:sz w:val="20"/>
        </w:rPr>
        <w:t>Rebuild the reference FASTA and checksum manifest.</w:t>
      </w:r>
    </w:p>
    <w:p>
      <w:pPr>
        <w:pStyle w:val="ListBullet"/>
        <w:spacing w:after="80" w:line="264" w:lineRule="auto"/>
      </w:pPr>
      <w:r>
        <w:rPr>
          <w:rFonts w:ascii="Aptos" w:hAnsi="Aptos"/>
          <w:b w:val="0"/>
          <w:i w:val="0"/>
          <w:color w:val="17212B"/>
          <w:sz w:val="20"/>
        </w:rPr>
        <w:t>Add a positive accession test and at least one related-element negative control.</w:t>
      </w:r>
    </w:p>
    <w:p>
      <w:pPr>
        <w:pStyle w:val="ListBullet"/>
        <w:spacing w:after="80" w:line="264" w:lineRule="auto"/>
      </w:pPr>
      <w:r>
        <w:rPr>
          <w:rFonts w:ascii="Aptos" w:hAnsi="Aptos"/>
          <w:b w:val="0"/>
          <w:i w:val="0"/>
          <w:color w:val="17212B"/>
          <w:sz w:val="20"/>
        </w:rPr>
        <w:t>Rerun the validation ledger and complete output-bundle test.</w:t>
      </w:r>
    </w:p>
    <w:p>
      <w:pPr>
        <w:sectPr>
          <w:headerReference w:type="default" r:id="rId19"/>
          <w:footerReference w:type="default" r:id="rId20"/>
          <w:pgSz w:w="12240" w:h="15840"/>
          <w:pgMar w:top="1152" w:right="1224" w:bottom="1080" w:left="1224" w:header="360" w:footer="360" w:gutter="0"/>
          <w:cols w:space="720"/>
          <w:docGrid w:linePitch="360"/>
        </w:sectPr>
      </w:pPr>
    </w:p>
    <w:p>
      <w:pPr>
        <w:pStyle w:val="Heading1"/>
      </w:pPr>
      <w:r>
        <w:t>5. Boundaries, direct repeats and validation design</w:t>
      </w:r>
    </w:p>
    <w:p>
      <w:pPr>
        <w:pStyle w:val="Heading2"/>
      </w:pPr>
      <w:r>
        <w:t>How direct repeats are detected</w:t>
      </w:r>
    </w:p>
    <w:p>
      <w:pPr>
        <w:keepNext w:val="0"/>
        <w:spacing w:before="0" w:after="120" w:line="264" w:lineRule="auto"/>
      </w:pPr>
      <w:r>
        <w:rPr>
          <w:rFonts w:ascii="Aptos" w:hAnsi="Aptos"/>
          <w:b w:val="0"/>
          <w:i w:val="0"/>
          <w:color w:val="17212B"/>
          <w:sz w:val="21"/>
        </w:rPr>
        <w:t>For this group, a five-base direct repeat is supporting boundary evidence, not the naming rule. After candidate element ends have been inferred, Matryoshka reads the five bases immediately outside the left end and the five bases immediately outside the right end. An identical pair is reported with sequence and coordinates. If the record ends at the element boundary, the test is marked untestable because the flank is absent. If both flanks exist but differ, the result records that a repeat was searched for and not found.</w:t>
      </w:r>
    </w:p>
    <w:p>
      <w:pPr>
        <w:keepNext w:val="0"/>
        <w:spacing w:before="0" w:after="120" w:line="264" w:lineRule="auto"/>
      </w:pPr>
      <w:r>
        <w:rPr>
          <w:rFonts w:ascii="Aptos" w:hAnsi="Aptos"/>
          <w:b w:val="0"/>
          <w:i w:val="0"/>
          <w:color w:val="5B6570"/>
          <w:sz w:val="19"/>
        </w:rPr>
        <w:t>A five-base repeat can occur by chance. It therefore cannot create a Tn1/Tn2/Tn3 name without the complete component grammar and type-profile evidence.</w:t>
      </w:r>
    </w:p>
    <w:p>
      <w:pPr>
        <w:pStyle w:val="Heading2"/>
      </w:pPr>
      <w:r>
        <w:t>Validation set</w:t>
      </w:r>
    </w:p>
    <w:tbl>
      <w:tblPr>
        <w:tblStyle w:val="TableGrid"/>
        <w:tblW w:type="dxa" w:w="8460"/>
        <w:jc w:val="center"/>
        <w:tblLayout w:type="fixed"/>
        <w:tblLook w:firstColumn="1" w:firstRow="1" w:lastColumn="0" w:lastRow="0" w:noHBand="0" w:noVBand="1" w:val="04A0"/>
        <w:tblInd w:w="120" w:type="dxa"/>
      </w:tblPr>
      <w:tblGrid>
        <w:gridCol w:w="2400"/>
        <w:gridCol w:w="2700"/>
        <w:gridCol w:w="3360"/>
      </w:tblGrid>
      <w:tr>
        <w:trPr>
          <w:tblHeader w:val="true"/>
        </w:trPr>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7"/>
              </w:rPr>
              <w:t>Evidence class</w:t>
            </w:r>
          </w:p>
        </w:tc>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7"/>
              </w:rPr>
              <w:t>Examples</w:t>
            </w:r>
          </w:p>
        </w:tc>
        <w:tc>
          <w:tcPr>
            <w:tcW w:type="dxa" w:w="3360"/>
            <w:tcMar>
              <w:top w:w="80" w:type="dxa"/>
              <w:start w:w="120" w:type="dxa"/>
              <w:bottom w:w="80" w:type="dxa"/>
              <w:end w:w="120" w:type="dxa"/>
            </w:tcMar>
            <w:vAlign w:val="center"/>
            <w:shd w:fill="F2F4F7"/>
          </w:tcPr>
          <w:p>
            <w:pPr>
              <w:spacing w:after="0"/>
            </w:pPr>
            <w:r>
              <w:rPr>
                <w:rFonts w:ascii="Aptos" w:hAnsi="Aptos"/>
                <w:b/>
                <w:i w:val="0"/>
                <w:color w:val="17365D"/>
                <w:sz w:val="17"/>
              </w:rPr>
              <w:t>Purpose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Reviewed exact definitions</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NC_008357, AY123253, HM749966, HM749967, CP028717, GQ160960, V00613</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Positive controls for type/subtype execution and output generation.</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Natural partial sequence</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pEK499, EU935739.1</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that two separated Tn2-related fragments remain partial.</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Minor sequence variation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 with 25 substitutions</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a complete non-identical sequence becomes Tn1-like.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Structural variation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Tn2 with an 800 bp insertion</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an inserted sequence is retained and the call remains qualified.</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Internal deletion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Tn2 with a 300 bp deletion</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split component evidence is chained and remains Tn2-like.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Truncation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 missing 700 left-hand bases</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the sequence becomes a fragment rather than exact Tn1.</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Related elements</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Tn1696, Tn1721, Tn5403</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shared components do not force a Tn1/Tn2/Tn3 name.</w:t>
            </w:r>
          </w:p>
        </w:tc>
      </w:tr>
    </w:tbl>
    <w:p>
      <w:pPr>
        <w:spacing w:after="0"/>
      </w:pPr>
    </w:p>
    <w:p>
      <w:pPr>
        <w:pStyle w:val="Heading2"/>
      </w:pPr>
      <w:r>
        <w:t>Headline result</w:t>
      </w:r>
    </w:p>
    <w:p>
      <w:pPr>
        <w:keepNext w:val="0"/>
        <w:spacing w:before="0" w:after="120" w:line="264" w:lineRule="auto"/>
      </w:pPr>
      <w:r>
        <w:rPr>
          <w:rFonts w:ascii="Aptos" w:hAnsi="Aptos"/>
          <w:b/>
          <w:i w:val="0"/>
          <w:color w:val="17633A"/>
          <w:sz w:val="22"/>
        </w:rPr>
        <w:t>All 14 real-accession ledger checks and all 23 focused Tn1/Tn2/Tn3 acceptance tests pass. The component-only tests type substituted, inserted and deleted variants without a complete-element lookup. The reviewed inputs receive exact confirmation; the pEK499 loci remain partial; related elements are not misnamed.</w:t>
      </w:r>
    </w:p>
    <w:p>
      <w:pPr>
        <w:sectPr>
          <w:headerReference w:type="default" r:id="rId21"/>
          <w:footerReference w:type="default" r:id="rId22"/>
          <w:pgSz w:w="12240" w:h="15840"/>
          <w:pgMar w:top="1152" w:right="1224" w:bottom="1080" w:left="1224" w:header="360" w:footer="360" w:gutter="0"/>
          <w:cols w:space="720"/>
          <w:docGrid w:linePitch="360"/>
        </w:sectPr>
      </w:pPr>
    </w:p>
    <w:p>
      <w:pPr>
        <w:pStyle w:val="Heading1"/>
      </w:pPr>
      <w:r>
        <w:t>Validation ledger</w:t>
      </w:r>
    </w:p>
    <w:tbl>
      <w:tblPr>
        <w:tblStyle w:val="TableGrid"/>
        <w:tblW w:type="dxa" w:w="12400"/>
        <w:jc w:val="center"/>
        <w:tblLayout w:type="fixed"/>
        <w:tblLook w:firstColumn="1" w:firstRow="1" w:lastColumn="0" w:lastRow="0" w:noHBand="0" w:noVBand="1" w:val="04A0"/>
        <w:tblInd w:w="120" w:type="dxa"/>
      </w:tblPr>
      <w:tblGrid>
        <w:gridCol w:w="2200"/>
        <w:gridCol w:w="2100"/>
        <w:gridCol w:w="1500"/>
        <w:gridCol w:w="3500"/>
        <w:gridCol w:w="2400"/>
        <w:gridCol w:w="700"/>
      </w:tblGrid>
      <w:tr>
        <w:trPr>
          <w:tblHeader w:val="true"/>
        </w:trPr>
        <w:tc>
          <w:tcPr>
            <w:tcW w:type="dxa" w:w="2200"/>
            <w:tcMar>
              <w:top w:w="80" w:type="dxa"/>
              <w:start w:w="120" w:type="dxa"/>
              <w:bottom w:w="80" w:type="dxa"/>
              <w:end w:w="120" w:type="dxa"/>
            </w:tcMar>
            <w:vAlign w:val="center"/>
            <w:shd w:fill="F2F4F7"/>
          </w:tcPr>
          <w:p>
            <w:pPr>
              <w:spacing w:after="0"/>
            </w:pPr>
            <w:r>
              <w:rPr>
                <w:rFonts w:ascii="Aptos" w:hAnsi="Aptos"/>
                <w:b/>
                <w:i w:val="0"/>
                <w:color w:val="17365D"/>
                <w:sz w:val="15"/>
              </w:rPr>
              <w:t>Scenario</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5"/>
              </w:rPr>
              <w:t>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Accession</w:t>
            </w:r>
          </w:p>
        </w:tc>
        <w:tc>
          <w:tcPr>
            <w:tcW w:type="dxa" w:w="3500"/>
            <w:tcMar>
              <w:top w:w="80" w:type="dxa"/>
              <w:start w:w="120" w:type="dxa"/>
              <w:bottom w:w="80" w:type="dxa"/>
              <w:end w:w="120" w:type="dxa"/>
            </w:tcMar>
            <w:vAlign w:val="center"/>
            <w:shd w:fill="F2F4F7"/>
          </w:tcPr>
          <w:p>
            <w:pPr>
              <w:spacing w:after="0"/>
            </w:pPr>
            <w:r>
              <w:rPr>
                <w:rFonts w:ascii="Aptos" w:hAnsi="Aptos"/>
                <w:b/>
                <w:i w:val="0"/>
                <w:color w:val="17365D"/>
                <w:sz w:val="15"/>
              </w:rPr>
              <w:t>Expected</w:t>
            </w:r>
          </w:p>
        </w:tc>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5"/>
              </w:rPr>
              <w:t>Observed</w:t>
            </w:r>
          </w:p>
        </w:tc>
        <w:tc>
          <w:tcPr>
            <w:tcW w:type="dxa" w:w="700"/>
            <w:tcMar>
              <w:top w:w="80" w:type="dxa"/>
              <w:start w:w="120" w:type="dxa"/>
              <w:bottom w:w="80" w:type="dxa"/>
              <w:end w:w="120" w:type="dxa"/>
            </w:tcMar>
            <w:vAlign w:val="center"/>
            <w:shd w:fill="F2F4F7"/>
          </w:tcPr>
          <w:p>
            <w:pPr>
              <w:spacing w:after="0"/>
            </w:pPr>
            <w:r>
              <w:rPr>
                <w:rFonts w:ascii="Aptos" w:hAnsi="Aptos"/>
                <w:b/>
                <w:i w:val="0"/>
                <w:color w:val="17365D"/>
                <w:sz w:val="15"/>
              </w:rPr>
              <w:t>Result</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Tn1_NC_008357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NC_008357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Tn2_AY123253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AY123253</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Tn3_HM749966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HM749966</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Tn2c_HM749967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HM749967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Tn2c</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Tn2c</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Tn2_1_CP028717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CP028717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Tn2.1</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Tn1Mer_GQ160960</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GQ160960</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Tn1Mer</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Tn1Mer</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Tn3_V00613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V00613</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Tn3 (legacy 9 bp duplication subtype)</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natural partial fragments</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EU935739.1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EU935739</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natural partial fragments</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EU935739.1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EU935739</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Tn1696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Tn1721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Tn5403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synthetic minor variation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novel_complete_variant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Tn1-like, not exact 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Tn1-like</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synthetic partial sequence</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left_truncated_fragment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bl>
    <w:p>
      <w:pPr>
        <w:spacing w:after="0"/>
      </w:pPr>
    </w:p>
    <w:p>
      <w:pPr>
        <w:keepNext w:val="0"/>
        <w:spacing w:before="0" w:after="120" w:line="264" w:lineRule="auto"/>
      </w:pPr>
      <w:r>
        <w:rPr>
          <w:rFonts w:ascii="Aptos" w:hAnsi="Aptos"/>
          <w:b w:val="0"/>
          <w:i w:val="0"/>
          <w:color w:val="5B6570"/>
          <w:sz w:val="17"/>
        </w:rPr>
        <w:t>The machine-readable source is docs/validation/tn123-real-accession-results.tsv. Blank accession/type fields in the related-element rows are intentional: those tests assert that no Tn1/Tn2/Tn3 name is assigned.</w:t>
      </w:r>
    </w:p>
    <w:p>
      <w:pPr>
        <w:sectPr>
          <w:headerReference w:type="default" r:id="rId23"/>
          <w:footerReference w:type="default" r:id="rId24"/>
          <w:pgSz w:w="15840" w:h="12240" w:orient="landscape"/>
          <w:pgMar w:top="648" w:right="792" w:bottom="648" w:left="792" w:header="360" w:footer="360" w:gutter="0"/>
          <w:cols w:space="720"/>
          <w:docGrid w:linePitch="360"/>
        </w:sectPr>
      </w:pPr>
    </w:p>
    <w:p>
      <w:pPr>
        <w:pStyle w:val="Heading1"/>
      </w:pPr>
      <w:r>
        <w:t>6.1 Real accession result — Tn1 (NC_008357)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Tn1_NC_008357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1–4,949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NC_008357 plus complete component grammar.</w:t>
      </w:r>
    </w:p>
    <w:p>
      <w:pPr>
        <w:keepNext/>
        <w:spacing w:before="0" w:after="60" w:line="264" w:lineRule="auto"/>
      </w:pPr>
      <w:r>
        <w:rPr>
          <w:rFonts w:ascii="Aptos" w:hAnsi="Aptos"/>
          <w:b w:val="0"/>
          <w:i/>
          <w:color w:val="5B6570"/>
          <w:sz w:val="17"/>
        </w:rPr>
        <w:t>locus map generated from the detected and assembled features for Tn1_NC_008357.</w:t>
      </w:r>
    </w:p>
    <w:p>
      <w:pPr>
        <w:spacing w:before="0" w:after="40"/>
        <w:jc w:val="center"/>
      </w:pPr>
      <w:r>
        <w:drawing>
          <wp:inline xmlns:a="http://schemas.openxmlformats.org/drawingml/2006/main" xmlns:pic="http://schemas.openxmlformats.org/drawingml/2006/picture">
            <wp:extent cx="8458200" cy="2008823"/>
            <wp:docPr id="1" name="Picture 1" title="Tn1 locus maps" descr="locus map for accession NC_008357 with detected components and legend."/>
            <wp:cNvGraphicFramePr>
              <a:graphicFrameLocks noChangeAspect="1"/>
            </wp:cNvGraphicFramePr>
            <a:graphic>
              <a:graphicData uri="http://schemas.openxmlformats.org/drawingml/2006/picture">
                <pic:pic>
                  <pic:nvPicPr>
                    <pic:cNvPr id="0" name="locus-map-Tn1_NC_008357__Tn1__1-4949.png"/>
                    <pic:cNvPicPr/>
                  </pic:nvPicPr>
                  <pic:blipFill>
                    <a:blip r:embed="rId27"/>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512790"/>
            <wp:docPr id="2" name="Picture 2" title="Tn1 locus table" descr="locus feature table for accession NC_008357."/>
            <wp:cNvGraphicFramePr>
              <a:graphicFrameLocks noChangeAspect="1"/>
            </wp:cNvGraphicFramePr>
            <a:graphic>
              <a:graphicData uri="http://schemas.openxmlformats.org/drawingml/2006/picture">
                <pic:pic>
                  <pic:nvPicPr>
                    <pic:cNvPr id="0" name="locus-table-Tn1_NC_008357__Tn1__1-4949.png"/>
                    <pic:cNvPicPr/>
                  </pic:nvPicPr>
                  <pic:blipFill>
                    <a:blip r:embed="rId28"/>
                    <a:stretch>
                      <a:fillRect/>
                    </a:stretch>
                  </pic:blipFill>
                  <pic:spPr>
                    <a:xfrm>
                      <a:off x="0" y="0"/>
                      <a:ext cx="8458200" cy="2512790"/>
                    </a:xfrm>
                    <a:prstGeom prst="rect"/>
                  </pic:spPr>
                </pic:pic>
              </a:graphicData>
            </a:graphic>
          </wp:inline>
        </w:drawing>
      </w:r>
    </w:p>
    <w:p>
      <w:pPr>
        <w:sectPr>
          <w:headerReference w:type="default" r:id="rId25"/>
          <w:footerReference w:type="default" r:id="rId26"/>
          <w:pgSz w:w="15840" w:h="12240" w:orient="landscape"/>
          <w:pgMar w:top="648" w:right="792" w:bottom="648" w:left="792" w:header="360" w:footer="360" w:gutter="0"/>
          <w:cols w:space="720"/>
          <w:docGrid w:linePitch="360"/>
        </w:sectPr>
      </w:pPr>
    </w:p>
    <w:p>
      <w:pPr>
        <w:pStyle w:val="Heading1"/>
      </w:pPr>
      <w:r>
        <w:t>6.1 Evidence detail — Tn1 (NC_008357)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3" name="Picture 3" title="Tn1 hierarchy" descr="Original hierarchical annotation view for accession NC_008357."/>
            <wp:cNvGraphicFramePr>
              <a:graphicFrameLocks noChangeAspect="1"/>
            </wp:cNvGraphicFramePr>
            <a:graphic>
              <a:graphicData uri="http://schemas.openxmlformats.org/drawingml/2006/picture">
                <pic:pic>
                  <pic:nvPicPr>
                    <pic:cNvPr id="0" name="hierarchy-Tn1_NC_008357.png"/>
                    <pic:cNvPicPr/>
                  </pic:nvPicPr>
                  <pic:blipFill>
                    <a:blip r:embed="rId31"/>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blaTEM-2</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4,912–4,949</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Tn1_NC_008357 (version 2026-08-27). Variant status: exact_reference_confirmed. Reference-projected required components: 0. Context features from the reviewed definition: 0.</w:t>
      </w:r>
    </w:p>
    <w:p>
      <w:pPr>
        <w:sectPr>
          <w:headerReference w:type="default" r:id="rId29"/>
          <w:footerReference w:type="default" r:id="rId30"/>
          <w:pgSz w:w="15840" w:h="12240" w:orient="landscape"/>
          <w:pgMar w:top="648" w:right="792" w:bottom="648" w:left="792" w:header="360" w:footer="360" w:gutter="0"/>
          <w:cols w:space="720"/>
          <w:docGrid w:linePitch="360"/>
        </w:sectPr>
      </w:pPr>
    </w:p>
    <w:p>
      <w:pPr>
        <w:pStyle w:val="Heading1"/>
      </w:pPr>
      <w:r>
        <w:t>6.2 Real accession result — Tn2 (AY123253)</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Tn2_AY123253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1–4,950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AY123253 plus complete component grammar.</w:t>
      </w:r>
    </w:p>
    <w:p>
      <w:pPr>
        <w:keepNext/>
        <w:spacing w:before="0" w:after="60" w:line="264" w:lineRule="auto"/>
      </w:pPr>
      <w:r>
        <w:rPr>
          <w:rFonts w:ascii="Aptos" w:hAnsi="Aptos"/>
          <w:b w:val="0"/>
          <w:i/>
          <w:color w:val="5B6570"/>
          <w:sz w:val="17"/>
        </w:rPr>
        <w:t>locus map generated from the detected and assembled features for Tn2_AY123253.</w:t>
      </w:r>
    </w:p>
    <w:p>
      <w:pPr>
        <w:spacing w:before="0" w:after="40"/>
        <w:jc w:val="center"/>
      </w:pPr>
      <w:r>
        <w:drawing>
          <wp:inline xmlns:a="http://schemas.openxmlformats.org/drawingml/2006/main" xmlns:pic="http://schemas.openxmlformats.org/drawingml/2006/picture">
            <wp:extent cx="8458200" cy="2008823"/>
            <wp:docPr id="4" name="Picture 4" title="Tn2 locus maps" descr="locus map for accession AY123253 with detected components and legend."/>
            <wp:cNvGraphicFramePr>
              <a:graphicFrameLocks noChangeAspect="1"/>
            </wp:cNvGraphicFramePr>
            <a:graphic>
              <a:graphicData uri="http://schemas.openxmlformats.org/drawingml/2006/picture">
                <pic:pic>
                  <pic:nvPicPr>
                    <pic:cNvPr id="0" name="locus-map-Tn2_AY123253__Tn2__1-4950.png"/>
                    <pic:cNvPicPr/>
                  </pic:nvPicPr>
                  <pic:blipFill>
                    <a:blip r:embed="rId34"/>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512790"/>
            <wp:docPr id="5" name="Picture 5" title="Tn2 locus table" descr="locus feature table for accession AY123253."/>
            <wp:cNvGraphicFramePr>
              <a:graphicFrameLocks noChangeAspect="1"/>
            </wp:cNvGraphicFramePr>
            <a:graphic>
              <a:graphicData uri="http://schemas.openxmlformats.org/drawingml/2006/picture">
                <pic:pic>
                  <pic:nvPicPr>
                    <pic:cNvPr id="0" name="locus-table-Tn2_AY123253__Tn2__1-4950.png"/>
                    <pic:cNvPicPr/>
                  </pic:nvPicPr>
                  <pic:blipFill>
                    <a:blip r:embed="rId35"/>
                    <a:stretch>
                      <a:fillRect/>
                    </a:stretch>
                  </pic:blipFill>
                  <pic:spPr>
                    <a:xfrm>
                      <a:off x="0" y="0"/>
                      <a:ext cx="8458200" cy="2512790"/>
                    </a:xfrm>
                    <a:prstGeom prst="rect"/>
                  </pic:spPr>
                </pic:pic>
              </a:graphicData>
            </a:graphic>
          </wp:inline>
        </w:drawing>
      </w:r>
    </w:p>
    <w:p>
      <w:pPr>
        <w:sectPr>
          <w:headerReference w:type="default" r:id="rId32"/>
          <w:footerReference w:type="default" r:id="rId33"/>
          <w:pgSz w:w="15840" w:h="12240" w:orient="landscape"/>
          <w:pgMar w:top="648" w:right="792" w:bottom="648" w:left="792" w:header="360" w:footer="360" w:gutter="0"/>
          <w:cols w:space="720"/>
          <w:docGrid w:linePitch="360"/>
        </w:sectPr>
      </w:pPr>
    </w:p>
    <w:p>
      <w:pPr>
        <w:pStyle w:val="Heading1"/>
      </w:pPr>
      <w:r>
        <w:t>6.2 Evidence detail — Tn2 (AY123253)</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6" name="Picture 6" title="Tn2 hierarchy" descr="Original hierarchical annotation view for accession AY123253."/>
            <wp:cNvGraphicFramePr>
              <a:graphicFrameLocks noChangeAspect="1"/>
            </wp:cNvGraphicFramePr>
            <a:graphic>
              <a:graphicData uri="http://schemas.openxmlformats.org/drawingml/2006/picture">
                <pic:pic>
                  <pic:nvPicPr>
                    <pic:cNvPr id="0" name="hierarchy-Tn2_AY123253.png"/>
                    <pic:cNvPicPr/>
                  </pic:nvPicPr>
                  <pic:blipFill>
                    <a:blip r:embed="rId38"/>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blaTEM-1b</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4,913–4,950</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Tn2_AY123253 (version 2026-08-27). Variant status: exact_reference_confirmed. Reference-projected required components: 0. Context features from the reviewed definition: 0.</w:t>
      </w:r>
    </w:p>
    <w:p>
      <w:pPr>
        <w:sectPr>
          <w:headerReference w:type="default" r:id="rId36"/>
          <w:footerReference w:type="default" r:id="rId37"/>
          <w:pgSz w:w="15840" w:h="12240" w:orient="landscape"/>
          <w:pgMar w:top="648" w:right="792" w:bottom="648" w:left="792" w:header="360" w:footer="360" w:gutter="0"/>
          <w:cols w:space="720"/>
          <w:docGrid w:linePitch="360"/>
        </w:sectPr>
      </w:pPr>
    </w:p>
    <w:p>
      <w:pPr>
        <w:pStyle w:val="Heading1"/>
      </w:pPr>
      <w:r>
        <w:t>6.3 Real accession result — Tn3 (HM749966)</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Tn3_HM749966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1–4,948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HM749966 plus complete component grammar.</w:t>
      </w:r>
    </w:p>
    <w:p>
      <w:pPr>
        <w:keepNext/>
        <w:spacing w:before="0" w:after="60" w:line="264" w:lineRule="auto"/>
      </w:pPr>
      <w:r>
        <w:rPr>
          <w:rFonts w:ascii="Aptos" w:hAnsi="Aptos"/>
          <w:b w:val="0"/>
          <w:i/>
          <w:color w:val="5B6570"/>
          <w:sz w:val="17"/>
        </w:rPr>
        <w:t>locus map generated from the detected and assembled features for Tn3_HM749966.</w:t>
      </w:r>
    </w:p>
    <w:p>
      <w:pPr>
        <w:spacing w:before="0" w:after="40"/>
        <w:jc w:val="center"/>
      </w:pPr>
      <w:r>
        <w:drawing>
          <wp:inline xmlns:a="http://schemas.openxmlformats.org/drawingml/2006/main" xmlns:pic="http://schemas.openxmlformats.org/drawingml/2006/picture">
            <wp:extent cx="8458200" cy="2008823"/>
            <wp:docPr id="7" name="Picture 7" title="Tn3 locus maps" descr="locus map for accession HM749966 with detected components and legend."/>
            <wp:cNvGraphicFramePr>
              <a:graphicFrameLocks noChangeAspect="1"/>
            </wp:cNvGraphicFramePr>
            <a:graphic>
              <a:graphicData uri="http://schemas.openxmlformats.org/drawingml/2006/picture">
                <pic:pic>
                  <pic:nvPicPr>
                    <pic:cNvPr id="0" name="locus-map-Tn3_HM749966__Tn3__1-4948.png"/>
                    <pic:cNvPicPr/>
                  </pic:nvPicPr>
                  <pic:blipFill>
                    <a:blip r:embed="rId41"/>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512790"/>
            <wp:docPr id="8" name="Picture 8" title="Tn3 locus table" descr="locus feature table for accession HM749966."/>
            <wp:cNvGraphicFramePr>
              <a:graphicFrameLocks noChangeAspect="1"/>
            </wp:cNvGraphicFramePr>
            <a:graphic>
              <a:graphicData uri="http://schemas.openxmlformats.org/drawingml/2006/picture">
                <pic:pic>
                  <pic:nvPicPr>
                    <pic:cNvPr id="0" name="locus-table-Tn3_HM749966__Tn3__1-4948.png"/>
                    <pic:cNvPicPr/>
                  </pic:nvPicPr>
                  <pic:blipFill>
                    <a:blip r:embed="rId42"/>
                    <a:stretch>
                      <a:fillRect/>
                    </a:stretch>
                  </pic:blipFill>
                  <pic:spPr>
                    <a:xfrm>
                      <a:off x="0" y="0"/>
                      <a:ext cx="8458200" cy="2512790"/>
                    </a:xfrm>
                    <a:prstGeom prst="rect"/>
                  </pic:spPr>
                </pic:pic>
              </a:graphicData>
            </a:graphic>
          </wp:inline>
        </w:drawing>
      </w:r>
    </w:p>
    <w:p>
      <w:pPr>
        <w:sectPr>
          <w:headerReference w:type="default" r:id="rId39"/>
          <w:footerReference w:type="default" r:id="rId40"/>
          <w:pgSz w:w="15840" w:h="12240" w:orient="landscape"/>
          <w:pgMar w:top="648" w:right="792" w:bottom="648" w:left="792" w:header="360" w:footer="360" w:gutter="0"/>
          <w:cols w:space="720"/>
          <w:docGrid w:linePitch="360"/>
        </w:sectPr>
      </w:pPr>
    </w:p>
    <w:p>
      <w:pPr>
        <w:pStyle w:val="Heading1"/>
      </w:pPr>
      <w:r>
        <w:t>6.3 Evidence detail — Tn3 (HM749966)</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9" name="Picture 9" title="Tn3 hierarchy" descr="Original hierarchical annotation view for accession HM749966."/>
            <wp:cNvGraphicFramePr>
              <a:graphicFrameLocks noChangeAspect="1"/>
            </wp:cNvGraphicFramePr>
            <a:graphic>
              <a:graphicData uri="http://schemas.openxmlformats.org/drawingml/2006/picture">
                <pic:pic>
                  <pic:nvPicPr>
                    <pic:cNvPr id="0" name="hierarchy-Tn3_HM749966.png"/>
                    <pic:cNvPicPr/>
                  </pic:nvPicPr>
                  <pic:blipFill>
                    <a:blip r:embed="rId45"/>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1,911–4,915</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4,911–4,948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Tn3_HM749966 (version 2026-08-27). Variant status: exact_reference_confirmed. Reference-projected required components: 0. Context features from the reviewed definition: 0.</w:t>
      </w:r>
    </w:p>
    <w:p>
      <w:pPr>
        <w:sectPr>
          <w:headerReference w:type="default" r:id="rId43"/>
          <w:footerReference w:type="default" r:id="rId44"/>
          <w:pgSz w:w="15840" w:h="12240" w:orient="landscape"/>
          <w:pgMar w:top="648" w:right="792" w:bottom="648" w:left="792" w:header="360" w:footer="360" w:gutter="0"/>
          <w:cols w:space="720"/>
          <w:docGrid w:linePitch="360"/>
        </w:sectPr>
      </w:pPr>
    </w:p>
    <w:p>
      <w:pPr>
        <w:pStyle w:val="Heading1"/>
      </w:pPr>
      <w:r>
        <w:t>6.4 Real accession result — Tn2c (HM749967)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Tn2c_HM749967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Tn2c</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1–4,950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the 4950 bp Tn2 interval in HM749967. It retains the Tn2 grammar but carries the blaTEM-1c sequence and nine substitutions relative to AY123253.</w:t>
      </w:r>
    </w:p>
    <w:p>
      <w:pPr>
        <w:keepNext/>
        <w:spacing w:before="0" w:after="60" w:line="264" w:lineRule="auto"/>
      </w:pPr>
      <w:r>
        <w:rPr>
          <w:rFonts w:ascii="Aptos" w:hAnsi="Aptos"/>
          <w:b w:val="0"/>
          <w:i/>
          <w:color w:val="5B6570"/>
          <w:sz w:val="17"/>
        </w:rPr>
        <w:t>locus map generated from the detected and assembled features for Tn2c_HM749967.</w:t>
      </w:r>
    </w:p>
    <w:p>
      <w:pPr>
        <w:spacing w:before="0" w:after="40"/>
        <w:jc w:val="center"/>
      </w:pPr>
      <w:r>
        <w:drawing>
          <wp:inline xmlns:a="http://schemas.openxmlformats.org/drawingml/2006/main" xmlns:pic="http://schemas.openxmlformats.org/drawingml/2006/picture">
            <wp:extent cx="8458200" cy="2008823"/>
            <wp:docPr id="10" name="Picture 10" title="Tn2c locus maps" descr="locus map for accession HM749967 with detected components and legend."/>
            <wp:cNvGraphicFramePr>
              <a:graphicFrameLocks noChangeAspect="1"/>
            </wp:cNvGraphicFramePr>
            <a:graphic>
              <a:graphicData uri="http://schemas.openxmlformats.org/drawingml/2006/picture">
                <pic:pic>
                  <pic:nvPicPr>
                    <pic:cNvPr id="0" name="locus-map-Tn2c_HM749967__Tn2c__1-4950.png"/>
                    <pic:cNvPicPr/>
                  </pic:nvPicPr>
                  <pic:blipFill>
                    <a:blip r:embed="rId48"/>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696051"/>
            <wp:docPr id="11" name="Picture 11" title="Tn2c locus table" descr="locus feature table for accession HM749967."/>
            <wp:cNvGraphicFramePr>
              <a:graphicFrameLocks noChangeAspect="1"/>
            </wp:cNvGraphicFramePr>
            <a:graphic>
              <a:graphicData uri="http://schemas.openxmlformats.org/drawingml/2006/picture">
                <pic:pic>
                  <pic:nvPicPr>
                    <pic:cNvPr id="0" name="locus-table-Tn2c_HM749967__Tn2c__1-4950.png"/>
                    <pic:cNvPicPr/>
                  </pic:nvPicPr>
                  <pic:blipFill>
                    <a:blip r:embed="rId49"/>
                    <a:stretch>
                      <a:fillRect/>
                    </a:stretch>
                  </pic:blipFill>
                  <pic:spPr>
                    <a:xfrm>
                      <a:off x="0" y="0"/>
                      <a:ext cx="8458200" cy="2696051"/>
                    </a:xfrm>
                    <a:prstGeom prst="rect"/>
                  </pic:spPr>
                </pic:pic>
              </a:graphicData>
            </a:graphic>
          </wp:inline>
        </w:drawing>
      </w:r>
    </w:p>
    <w:p>
      <w:pPr>
        <w:sectPr>
          <w:headerReference w:type="default" r:id="rId46"/>
          <w:footerReference w:type="default" r:id="rId47"/>
          <w:pgSz w:w="15840" w:h="12240" w:orient="landscape"/>
          <w:pgMar w:top="648" w:right="792" w:bottom="648" w:left="792" w:header="360" w:footer="360" w:gutter="0"/>
          <w:cols w:space="720"/>
          <w:docGrid w:linePitch="360"/>
        </w:sectPr>
      </w:pPr>
    </w:p>
    <w:p>
      <w:pPr>
        <w:pStyle w:val="Heading1"/>
      </w:pPr>
      <w:r>
        <w:t>6.4 Evidence detail — Tn2c (HM749967)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12" name="Picture 12" title="Tn2c hierarchy" descr="Original hierarchical annotation view for accession HM749967."/>
            <wp:cNvGraphicFramePr>
              <a:graphicFrameLocks noChangeAspect="1"/>
            </wp:cNvGraphicFramePr>
            <a:graphic>
              <a:graphicData uri="http://schemas.openxmlformats.org/drawingml/2006/picture">
                <pic:pic>
                  <pic:nvPicPr>
                    <pic:cNvPr id="0" name="hierarchy-Tn2c_HM749967.png"/>
                    <pic:cNvPicPr/>
                  </pic:nvPicPr>
                  <pic:blipFill>
                    <a:blip r:embed="rId52"/>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blaTEM-1c</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4,913–4,950</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Tn2c_HM749967 (version 2026-08-27). Variant status: exact_reference_confirmed. Reference-projected required components: 0. Context features from the reviewed definition: 0.</w:t>
      </w:r>
    </w:p>
    <w:p>
      <w:pPr>
        <w:sectPr>
          <w:headerReference w:type="default" r:id="rId50"/>
          <w:footerReference w:type="default" r:id="rId51"/>
          <w:pgSz w:w="15840" w:h="12240" w:orient="landscape"/>
          <w:pgMar w:top="648" w:right="792" w:bottom="648" w:left="792" w:header="360" w:footer="360" w:gutter="0"/>
          <w:cols w:space="720"/>
          <w:docGrid w:linePitch="360"/>
        </w:sectPr>
      </w:pPr>
    </w:p>
    <w:p>
      <w:pPr>
        <w:pStyle w:val="Heading1"/>
      </w:pPr>
      <w:r>
        <w:t>6.5 Real accession result — Tn2.1 (CP028717)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Tn2_1_CP028717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1–8,979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the 8979 bp interrupted Tn2 structure extracted from CP028717. The Tn2 backbone is complete, including both terminal IRs, and a 4024 bp ISEcp1-associated region interrupts the sequence between canonical reference positions 124 and 129.</w:t>
      </w:r>
    </w:p>
    <w:p>
      <w:pPr>
        <w:keepNext/>
        <w:spacing w:before="0" w:after="60" w:line="264" w:lineRule="auto"/>
      </w:pPr>
      <w:r>
        <w:rPr>
          <w:rFonts w:ascii="Aptos" w:hAnsi="Aptos"/>
          <w:b w:val="0"/>
          <w:i/>
          <w:color w:val="5B6570"/>
          <w:sz w:val="17"/>
        </w:rPr>
        <w:t>locus map generated from the detected and assembled features for Tn2_1_CP028717.</w:t>
      </w:r>
    </w:p>
    <w:p>
      <w:pPr>
        <w:spacing w:before="0" w:after="40"/>
        <w:jc w:val="center"/>
      </w:pPr>
      <w:r>
        <w:drawing>
          <wp:inline xmlns:a="http://schemas.openxmlformats.org/drawingml/2006/main" xmlns:pic="http://schemas.openxmlformats.org/drawingml/2006/picture">
            <wp:extent cx="8458200" cy="2008823"/>
            <wp:docPr id="13" name="Picture 13" title="Tn2.1 locus maps" descr="locus map for accession CP028717 with detected components and legend."/>
            <wp:cNvGraphicFramePr>
              <a:graphicFrameLocks noChangeAspect="1"/>
            </wp:cNvGraphicFramePr>
            <a:graphic>
              <a:graphicData uri="http://schemas.openxmlformats.org/drawingml/2006/picture">
                <pic:pic>
                  <pic:nvPicPr>
                    <pic:cNvPr id="0" name="locus-map-Tn2_1_CP028717__Tn2.1__1-8979.png"/>
                    <pic:cNvPicPr/>
                  </pic:nvPicPr>
                  <pic:blipFill>
                    <a:blip r:embed="rId55"/>
                    <a:stretch>
                      <a:fillRect/>
                    </a:stretch>
                  </pic:blipFill>
                  <pic:spPr>
                    <a:xfrm>
                      <a:off x="0" y="0"/>
                      <a:ext cx="8458200" cy="2008823"/>
                    </a:xfrm>
                    <a:prstGeom prst="rect"/>
                  </pic:spPr>
                </pic:pic>
              </a:graphicData>
            </a:graphic>
          </wp:inline>
        </w:drawing>
      </w:r>
    </w:p>
    <w:p>
      <w:pPr>
        <w:sectPr>
          <w:headerReference w:type="default" r:id="rId53"/>
          <w:footerReference w:type="default" r:id="rId54"/>
          <w:pgSz w:w="15840" w:h="12240" w:orient="landscape"/>
          <w:pgMar w:top="648" w:right="792" w:bottom="648" w:left="792" w:header="360" w:footer="360" w:gutter="0"/>
          <w:cols w:space="720"/>
          <w:docGrid w:linePitch="360"/>
        </w:sectPr>
      </w:pPr>
    </w:p>
    <w:p>
      <w:pPr>
        <w:pStyle w:val="Heading1"/>
      </w:pPr>
      <w:r>
        <w:t>6.5 Continued — Tn2.1 locus table</w:t>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3066098"/>
            <wp:docPr id="14" name="Picture 14" title="Tn2.1 locus table" descr="locus feature table for accession CP028717."/>
            <wp:cNvGraphicFramePr>
              <a:graphicFrameLocks noChangeAspect="1"/>
            </wp:cNvGraphicFramePr>
            <a:graphic>
              <a:graphicData uri="http://schemas.openxmlformats.org/drawingml/2006/picture">
                <pic:pic>
                  <pic:nvPicPr>
                    <pic:cNvPr id="0" name="locus-table-Tn2_1_CP028717__Tn2.1__1-8979.png"/>
                    <pic:cNvPicPr/>
                  </pic:nvPicPr>
                  <pic:blipFill>
                    <a:blip r:embed="rId58"/>
                    <a:stretch>
                      <a:fillRect/>
                    </a:stretch>
                  </pic:blipFill>
                  <pic:spPr>
                    <a:xfrm>
                      <a:off x="0" y="0"/>
                      <a:ext cx="8458200" cy="3066098"/>
                    </a:xfrm>
                    <a:prstGeom prst="rect"/>
                  </pic:spPr>
                </pic:pic>
              </a:graphicData>
            </a:graphic>
          </wp:inline>
        </w:drawing>
      </w:r>
    </w:p>
    <w:p>
      <w:pPr>
        <w:sectPr>
          <w:headerReference w:type="default" r:id="rId56"/>
          <w:footerReference w:type="default" r:id="rId57"/>
          <w:pgSz w:w="15840" w:h="12240" w:orient="landscape"/>
          <w:pgMar w:top="648" w:right="792" w:bottom="648" w:left="792" w:header="360" w:footer="360" w:gutter="0"/>
          <w:cols w:space="720"/>
          <w:docGrid w:linePitch="360"/>
        </w:sectPr>
      </w:pPr>
    </w:p>
    <w:p>
      <w:pPr>
        <w:pStyle w:val="Heading1"/>
      </w:pPr>
      <w:r>
        <w:t>6.5 Evidence detail — Tn2.1 (CP028717)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631728"/>
            <wp:docPr id="15" name="Picture 15" title="Tn2.1 hierarchy" descr="Original hierarchical annotation view for accession CP028717."/>
            <wp:cNvGraphicFramePr>
              <a:graphicFrameLocks noChangeAspect="1"/>
            </wp:cNvGraphicFramePr>
            <a:graphic>
              <a:graphicData uri="http://schemas.openxmlformats.org/drawingml/2006/picture">
                <pic:pic>
                  <pic:nvPicPr>
                    <pic:cNvPr id="0" name="hierarchy-Tn2_1_CP028717.png"/>
                    <pic:cNvPicPr/>
                  </pic:nvPicPr>
                  <pic:blipFill>
                    <a:blip r:embed="rId61"/>
                    <a:stretch>
                      <a:fillRect/>
                    </a:stretch>
                  </pic:blipFill>
                  <pic:spPr>
                    <a:xfrm>
                      <a:off x="0" y="0"/>
                      <a:ext cx="8458200" cy="1631728"/>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blaTEM-1b</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4,177–5,037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5,220–5,777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5,783–5,896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5,940–8,946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99.97%</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8,942–8,979</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Tn2_1_CP028717 (version 2026-08-27). Variant status: exact_reference_confirmed. Reference-projected required components: 0. Context features from the reviewed definition: 2.</w:t>
      </w:r>
    </w:p>
    <w:p>
      <w:pPr>
        <w:sectPr>
          <w:headerReference w:type="default" r:id="rId59"/>
          <w:footerReference w:type="default" r:id="rId60"/>
          <w:pgSz w:w="15840" w:h="12240" w:orient="landscape"/>
          <w:pgMar w:top="648" w:right="792" w:bottom="648" w:left="792" w:header="360" w:footer="360" w:gutter="0"/>
          <w:cols w:space="720"/>
          <w:docGrid w:linePitch="360"/>
        </w:sectPr>
      </w:pPr>
    </w:p>
    <w:p>
      <w:pPr>
        <w:pStyle w:val="Heading1"/>
      </w:pPr>
      <w:r>
        <w:t>6.5 Nested locus — ISEcp1-associated insertion</w:t>
      </w:r>
    </w:p>
    <w:p>
      <w:pPr>
        <w:keepNext w:val="0"/>
        <w:spacing w:before="0" w:after="120" w:line="264" w:lineRule="auto"/>
      </w:pPr>
      <w:r>
        <w:rPr>
          <w:rFonts w:ascii="Aptos" w:hAnsi="Aptos"/>
          <w:b w:val="0"/>
          <w:i w:val="0"/>
          <w:color w:val="17212B"/>
          <w:sz w:val="21"/>
        </w:rPr>
        <w:t>The interrupted Tn2.1 definition contains a separately indexed ISEcp1-associated locus. It is drawn independently as well as inside the whole Tn2.1 view.</w:t>
      </w:r>
    </w:p>
    <w:p>
      <w:pPr>
        <w:spacing w:before="0" w:after="40"/>
        <w:jc w:val="center"/>
      </w:pPr>
      <w:r>
        <w:drawing>
          <wp:inline xmlns:a="http://schemas.openxmlformats.org/drawingml/2006/main" xmlns:pic="http://schemas.openxmlformats.org/drawingml/2006/picture">
            <wp:extent cx="8458200" cy="2008823"/>
            <wp:docPr id="16" name="Picture 16" title="Tn2.1 nested ISEcp1-associated insertion" descr="locus map of the separately indexed ISEcp1-associated insertion within Tn2.1."/>
            <wp:cNvGraphicFramePr>
              <a:graphicFrameLocks noChangeAspect="1"/>
            </wp:cNvGraphicFramePr>
            <a:graphic>
              <a:graphicData uri="http://schemas.openxmlformats.org/drawingml/2006/picture">
                <pic:pic>
                  <pic:nvPicPr>
                    <pic:cNvPr id="0" name="locus-map-Tn2_1_CP028717__ISEcp1-associated_insertion__130-4153.png"/>
                    <pic:cNvPicPr/>
                  </pic:nvPicPr>
                  <pic:blipFill>
                    <a:blip r:embed="rId64"/>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3066098"/>
            <wp:docPr id="17" name="Picture 17" title="Tn2.1 nested ISEcp1-associated insertion table" descr="locus feature table for the separately indexed ISEcp1-associated insertion within Tn2.1."/>
            <wp:cNvGraphicFramePr>
              <a:graphicFrameLocks noChangeAspect="1"/>
            </wp:cNvGraphicFramePr>
            <a:graphic>
              <a:graphicData uri="http://schemas.openxmlformats.org/drawingml/2006/picture">
                <pic:pic>
                  <pic:nvPicPr>
                    <pic:cNvPr id="0" name="locus-table-Tn2_1_CP028717__ISEcp1-associated_insertion__130-4153.png"/>
                    <pic:cNvPicPr/>
                  </pic:nvPicPr>
                  <pic:blipFill>
                    <a:blip r:embed="rId65"/>
                    <a:stretch>
                      <a:fillRect/>
                    </a:stretch>
                  </pic:blipFill>
                  <pic:spPr>
                    <a:xfrm>
                      <a:off x="0" y="0"/>
                      <a:ext cx="8458200" cy="3066098"/>
                    </a:xfrm>
                    <a:prstGeom prst="rect"/>
                  </pic:spPr>
                </pic:pic>
              </a:graphicData>
            </a:graphic>
          </wp:inline>
        </w:drawing>
      </w:r>
    </w:p>
    <w:p>
      <w:pPr>
        <w:sectPr>
          <w:headerReference w:type="default" r:id="rId62"/>
          <w:footerReference w:type="default" r:id="rId63"/>
          <w:pgSz w:w="15840" w:h="12240" w:orient="landscape"/>
          <w:pgMar w:top="648" w:right="792" w:bottom="648" w:left="792" w:header="360" w:footer="360" w:gutter="0"/>
          <w:cols w:space="720"/>
          <w:docGrid w:linePitch="360"/>
        </w:sectPr>
      </w:pPr>
    </w:p>
    <w:p>
      <w:pPr>
        <w:pStyle w:val="Heading1"/>
      </w:pPr>
      <w:r>
        <w:t>6.6 Real accession result — Tn1Mer (GQ160960)</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Tn1Mer_GQ160960</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Tn1Mer</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1–10,491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the 10491 bp interrupted Tn1 structure in GQ160960. The outer Tn1 grammar is complete, while a defective 5537 bp Tn5036-like transposon interrupts the Tn1 backbone. This is a named interrupted subtype, not the canonical Tn1 reference.</w:t>
      </w:r>
    </w:p>
    <w:p>
      <w:pPr>
        <w:keepNext/>
        <w:spacing w:before="0" w:after="60" w:line="264" w:lineRule="auto"/>
      </w:pPr>
      <w:r>
        <w:rPr>
          <w:rFonts w:ascii="Aptos" w:hAnsi="Aptos"/>
          <w:b w:val="0"/>
          <w:i/>
          <w:color w:val="5B6570"/>
          <w:sz w:val="17"/>
        </w:rPr>
        <w:t>locus map generated from the detected and assembled features for Tn1Mer_GQ160960.</w:t>
      </w:r>
    </w:p>
    <w:p>
      <w:pPr>
        <w:spacing w:before="0" w:after="40"/>
        <w:jc w:val="center"/>
      </w:pPr>
      <w:r>
        <w:drawing>
          <wp:inline xmlns:a="http://schemas.openxmlformats.org/drawingml/2006/main" xmlns:pic="http://schemas.openxmlformats.org/drawingml/2006/picture">
            <wp:extent cx="8458200" cy="2008823"/>
            <wp:docPr id="18" name="Picture 18" title="Tn1Mer locus maps" descr="locus map for accession GQ160960 with detected components and legend."/>
            <wp:cNvGraphicFramePr>
              <a:graphicFrameLocks noChangeAspect="1"/>
            </wp:cNvGraphicFramePr>
            <a:graphic>
              <a:graphicData uri="http://schemas.openxmlformats.org/drawingml/2006/picture">
                <pic:pic>
                  <pic:nvPicPr>
                    <pic:cNvPr id="0" name="locus-map-Tn1Mer_GQ160960__Tn1Mer__1-10491.png"/>
                    <pic:cNvPicPr/>
                  </pic:nvPicPr>
                  <pic:blipFill>
                    <a:blip r:embed="rId68"/>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3252883"/>
            <wp:docPr id="19" name="Picture 19" title="Tn1Mer locus table" descr="locus feature table for accession GQ160960."/>
            <wp:cNvGraphicFramePr>
              <a:graphicFrameLocks noChangeAspect="1"/>
            </wp:cNvGraphicFramePr>
            <a:graphic>
              <a:graphicData uri="http://schemas.openxmlformats.org/drawingml/2006/picture">
                <pic:pic>
                  <pic:nvPicPr>
                    <pic:cNvPr id="0" name="locus-table-Tn1Mer_GQ160960__Tn1Mer__1-10491.png"/>
                    <pic:cNvPicPr/>
                  </pic:nvPicPr>
                  <pic:blipFill>
                    <a:blip r:embed="rId69"/>
                    <a:stretch>
                      <a:fillRect/>
                    </a:stretch>
                  </pic:blipFill>
                  <pic:spPr>
                    <a:xfrm>
                      <a:off x="0" y="0"/>
                      <a:ext cx="8458200" cy="3252883"/>
                    </a:xfrm>
                    <a:prstGeom prst="rect"/>
                  </pic:spPr>
                </pic:pic>
              </a:graphicData>
            </a:graphic>
          </wp:inline>
        </w:drawing>
      </w:r>
    </w:p>
    <w:p>
      <w:pPr>
        <w:sectPr>
          <w:headerReference w:type="default" r:id="rId66"/>
          <w:footerReference w:type="default" r:id="rId67"/>
          <w:pgSz w:w="15840" w:h="12240" w:orient="landscape"/>
          <w:pgMar w:top="648" w:right="792" w:bottom="648" w:left="792" w:header="360" w:footer="360" w:gutter="0"/>
          <w:cols w:space="720"/>
          <w:docGrid w:linePitch="360"/>
        </w:sectPr>
      </w:pPr>
    </w:p>
    <w:p>
      <w:pPr>
        <w:pStyle w:val="Heading1"/>
      </w:pPr>
      <w:r>
        <w:t>6.6 Evidence detail — Tn1Mer (GQ160960)</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631728"/>
            <wp:docPr id="20" name="Picture 20" title="Tn1Mer hierarchy" descr="Original hierarchical annotation view for accession GQ160960."/>
            <wp:cNvGraphicFramePr>
              <a:graphicFrameLocks noChangeAspect="1"/>
            </wp:cNvGraphicFramePr>
            <a:graphic>
              <a:graphicData uri="http://schemas.openxmlformats.org/drawingml/2006/picture">
                <pic:pic>
                  <pic:nvPicPr>
                    <pic:cNvPr id="0" name="hierarchy-Tn1Mer_GQ160960.png"/>
                    <pic:cNvPicPr/>
                  </pic:nvPicPr>
                  <pic:blipFill>
                    <a:blip r:embed="rId72"/>
                    <a:stretch>
                      <a:fillRect/>
                    </a:stretch>
                  </pic:blipFill>
                  <pic:spPr>
                    <a:xfrm>
                      <a:off x="0" y="0"/>
                      <a:ext cx="8458200" cy="1631728"/>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blaTEM-2</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99.65%</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7,453–10,458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10,454–10,491</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Tn1Mer_GQ160960 (version 2026-08-27). Variant status: exact_reference_confirmed. Reference-projected required components: 0. Context features from the reviewed definition: 1.</w:t>
      </w:r>
    </w:p>
    <w:p>
      <w:pPr>
        <w:sectPr>
          <w:headerReference w:type="default" r:id="rId70"/>
          <w:footerReference w:type="default" r:id="rId71"/>
          <w:pgSz w:w="15840" w:h="12240" w:orient="landscape"/>
          <w:pgMar w:top="648" w:right="792" w:bottom="648" w:left="792" w:header="360" w:footer="360" w:gutter="0"/>
          <w:cols w:space="720"/>
          <w:docGrid w:linePitch="360"/>
        </w:sectPr>
      </w:pPr>
    </w:p>
    <w:p>
      <w:pPr>
        <w:pStyle w:val="Heading1"/>
      </w:pPr>
      <w:r>
        <w:t>6.7 Real accession result — Tn3 (V00613)</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Tn3_V00613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1–4,957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V00613 is Tn3 with the declared 9 bp duplication. It is a recognised Tn3 sequence variant, not an exact match to canonical HM749966.</w:t>
      </w:r>
    </w:p>
    <w:p>
      <w:pPr>
        <w:keepNext/>
        <w:spacing w:before="0" w:after="60" w:line="264" w:lineRule="auto"/>
      </w:pPr>
      <w:r>
        <w:rPr>
          <w:rFonts w:ascii="Aptos" w:hAnsi="Aptos"/>
          <w:b w:val="0"/>
          <w:i/>
          <w:color w:val="5B6570"/>
          <w:sz w:val="17"/>
        </w:rPr>
        <w:t>locus map generated from the detected and assembled features for Tn3_V00613.</w:t>
      </w:r>
    </w:p>
    <w:p>
      <w:pPr>
        <w:spacing w:before="0" w:after="40"/>
        <w:jc w:val="center"/>
      </w:pPr>
      <w:r>
        <w:drawing>
          <wp:inline xmlns:a="http://schemas.openxmlformats.org/drawingml/2006/main" xmlns:pic="http://schemas.openxmlformats.org/drawingml/2006/picture">
            <wp:extent cx="8458200" cy="2008823"/>
            <wp:docPr id="21" name="Picture 21" title="Tn3 locus maps" descr="locus map for accession V00613 with detected components and legend."/>
            <wp:cNvGraphicFramePr>
              <a:graphicFrameLocks noChangeAspect="1"/>
            </wp:cNvGraphicFramePr>
            <a:graphic>
              <a:graphicData uri="http://schemas.openxmlformats.org/drawingml/2006/picture">
                <pic:pic>
                  <pic:nvPicPr>
                    <pic:cNvPr id="0" name="locus-map-Tn3_V00613__Tn3__1-4957.png"/>
                    <pic:cNvPicPr/>
                  </pic:nvPicPr>
                  <pic:blipFill>
                    <a:blip r:embed="rId75"/>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777109"/>
            <wp:docPr id="22" name="Picture 22" title="Tn3 locus table" descr="locus feature table for accession V00613."/>
            <wp:cNvGraphicFramePr>
              <a:graphicFrameLocks noChangeAspect="1"/>
            </wp:cNvGraphicFramePr>
            <a:graphic>
              <a:graphicData uri="http://schemas.openxmlformats.org/drawingml/2006/picture">
                <pic:pic>
                  <pic:nvPicPr>
                    <pic:cNvPr id="0" name="locus-table-Tn3_V00613__Tn3__1-4957.png"/>
                    <pic:cNvPicPr/>
                  </pic:nvPicPr>
                  <pic:blipFill>
                    <a:blip r:embed="rId76"/>
                    <a:stretch>
                      <a:fillRect/>
                    </a:stretch>
                  </pic:blipFill>
                  <pic:spPr>
                    <a:xfrm>
                      <a:off x="0" y="0"/>
                      <a:ext cx="8458200" cy="2777109"/>
                    </a:xfrm>
                    <a:prstGeom prst="rect"/>
                  </pic:spPr>
                </pic:pic>
              </a:graphicData>
            </a:graphic>
          </wp:inline>
        </w:drawing>
      </w:r>
    </w:p>
    <w:p>
      <w:pPr>
        <w:sectPr>
          <w:headerReference w:type="default" r:id="rId73"/>
          <w:footerReference w:type="default" r:id="rId74"/>
          <w:pgSz w:w="15840" w:h="12240" w:orient="landscape"/>
          <w:pgMar w:top="648" w:right="792" w:bottom="648" w:left="792" w:header="360" w:footer="360" w:gutter="0"/>
          <w:cols w:space="720"/>
          <w:docGrid w:linePitch="360"/>
        </w:sectPr>
      </w:pPr>
    </w:p>
    <w:p>
      <w:pPr>
        <w:pStyle w:val="Heading1"/>
      </w:pPr>
      <w:r>
        <w:t>6.7 Evidence detail — Tn3 (V00613)</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23" name="Picture 23" title="Tn3 hierarchy" descr="Original hierarchical annotation view for accession V00613."/>
            <wp:cNvGraphicFramePr>
              <a:graphicFrameLocks noChangeAspect="1"/>
            </wp:cNvGraphicFramePr>
            <a:graphic>
              <a:graphicData uri="http://schemas.openxmlformats.org/drawingml/2006/picture">
                <pic:pic>
                  <pic:nvPicPr>
                    <pic:cNvPr id="0" name="hierarchy-Tn3_V00613.png"/>
                    <pic:cNvPicPr/>
                  </pic:nvPicPr>
                  <pic:blipFill>
                    <a:blip r:embed="rId79"/>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1,911–4,924</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99.70%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4,920–4,957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Tn3_V00613 (version 2026-08-27). Variant status: exact_reference_confirmed. Reference-projected required components: 0. Context features from the reviewed definition: 0.</w:t>
      </w:r>
    </w:p>
    <w:p>
      <w:pPr>
        <w:sectPr>
          <w:headerReference w:type="default" r:id="rId77"/>
          <w:footerReference w:type="default" r:id="rId78"/>
          <w:pgSz w:w="15840" w:h="12240" w:orient="landscape"/>
          <w:pgMar w:top="648" w:right="792" w:bottom="648" w:left="792" w:header="360" w:footer="360" w:gutter="0"/>
          <w:cols w:space="720"/>
          <w:docGrid w:linePitch="360"/>
        </w:sectPr>
      </w:pPr>
    </w:p>
    <w:p>
      <w:pPr>
        <w:pStyle w:val="Heading1"/>
      </w:pPr>
      <w:r>
        <w:t>7. Natural partial-fragment result — pEK499 (EU935739.1)</w:t>
      </w:r>
    </w:p>
    <w:tbl>
      <w:tblPr>
        <w:tblStyle w:val="TableGrid"/>
        <w:tblW w:type="dxa" w:w="12400"/>
        <w:jc w:val="center"/>
        <w:tblLayout w:type="fixed"/>
        <w:tblLook w:firstColumn="1" w:firstRow="1" w:lastColumn="0" w:lastRow="0" w:noHBand="0" w:noVBand="1" w:val="04A0"/>
        <w:tblInd w:w="120" w:type="dxa"/>
      </w:tblPr>
      <w:tblGrid>
        <w:gridCol w:w="1900"/>
        <w:gridCol w:w="2500"/>
        <w:gridCol w:w="1500"/>
        <w:gridCol w:w="1700"/>
        <w:gridCol w:w="3900"/>
        <w:gridCol w:w="900"/>
      </w:tblGrid>
      <w:tr>
        <w:trPr>
          <w:tblHeader w:val="true"/>
        </w:trPr>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2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Closest type</w:t>
            </w:r>
          </w:p>
        </w:tc>
        <w:tc>
          <w:tcPr>
            <w:tcW w:type="dxa" w:w="1700"/>
            <w:tcMar>
              <w:top w:w="80" w:type="dxa"/>
              <w:start w:w="120" w:type="dxa"/>
              <w:bottom w:w="80" w:type="dxa"/>
              <w:end w:w="120" w:type="dxa"/>
            </w:tcMar>
            <w:vAlign w:val="center"/>
            <w:shd w:fill="F2F4F7"/>
          </w:tcPr>
          <w:p>
            <w:pPr>
              <w:spacing w:after="0"/>
            </w:pPr>
            <w:r>
              <w:rPr>
                <w:rFonts w:ascii="Aptos" w:hAnsi="Aptos"/>
                <w:b/>
                <w:i w:val="0"/>
                <w:color w:val="17365D"/>
                <w:sz w:val="16"/>
              </w:rPr>
              <w:t>Reference coverage</w:t>
            </w:r>
          </w:p>
        </w:tc>
        <w:tc>
          <w:tcPr>
            <w:tcW w:type="dxa" w:w="3900"/>
            <w:tcMar>
              <w:top w:w="80" w:type="dxa"/>
              <w:start w:w="120" w:type="dxa"/>
              <w:bottom w:w="80" w:type="dxa"/>
              <w:end w:w="120" w:type="dxa"/>
            </w:tcMar>
            <w:vAlign w:val="center"/>
            <w:shd w:fill="F2F4F7"/>
          </w:tcPr>
          <w:p>
            <w:pPr>
              <w:spacing w:after="0"/>
            </w:pPr>
            <w:r>
              <w:rPr>
                <w:rFonts w:ascii="Aptos" w:hAnsi="Aptos"/>
                <w:b/>
                <w:i w:val="0"/>
                <w:color w:val="17365D"/>
                <w:sz w:val="16"/>
              </w:rPr>
              <w:t>Detected required roles</w:t>
            </w:r>
          </w:p>
        </w:tc>
        <w:tc>
          <w:tcPr>
            <w:tcW w:type="dxa" w:w="9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1900"/>
            <w:tcMar>
              <w:top w:w="80" w:type="dxa"/>
              <w:start w:w="120" w:type="dxa"/>
              <w:bottom w:w="80" w:type="dxa"/>
              <w:end w:w="120" w:type="dxa"/>
            </w:tcMar>
            <w:vAlign w:val="center"/>
          </w:tcPr>
          <w:p>
            <w:pPr>
              <w:spacing w:after="0"/>
            </w:pPr>
            <w:r>
              <w:rPr>
                <w:rFonts w:ascii="Aptos" w:hAnsi="Aptos"/>
                <w:b w:val="0"/>
                <w:i w:val="0"/>
                <w:color w:val="17212B"/>
                <w:sz w:val="16"/>
              </w:rPr>
              <w:t>38,747–40,671</w:t>
            </w:r>
          </w:p>
        </w:tc>
        <w:tc>
          <w:tcPr>
            <w:tcW w:type="dxa" w:w="2500"/>
            <w:tcMar>
              <w:top w:w="80" w:type="dxa"/>
              <w:start w:w="120" w:type="dxa"/>
              <w:bottom w:w="80" w:type="dxa"/>
              <w:end w:w="120" w:type="dxa"/>
            </w:tcMar>
            <w:vAlign w:val="center"/>
          </w:tcPr>
          <w:p>
            <w:pPr>
              <w:spacing w:after="0"/>
            </w:pPr>
            <w:r>
              <w:rPr>
                <w:rFonts w:ascii="Aptos" w:hAnsi="Aptos"/>
                <w:b w:val="0"/>
                <w:i w:val="0"/>
                <w:color w:val="17212B"/>
                <w:sz w:val="16"/>
              </w:rPr>
              <w:t>Tn1/2/3 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1700"/>
            <w:tcMar>
              <w:top w:w="80" w:type="dxa"/>
              <w:start w:w="120" w:type="dxa"/>
              <w:bottom w:w="80" w:type="dxa"/>
              <w:end w:w="120" w:type="dxa"/>
            </w:tcMar>
            <w:vAlign w:val="center"/>
          </w:tcPr>
          <w:p>
            <w:pPr>
              <w:spacing w:after="0"/>
            </w:pPr>
            <w:r>
              <w:rPr>
                <w:rFonts w:ascii="Aptos" w:hAnsi="Aptos"/>
                <w:b w:val="0"/>
                <w:i w:val="0"/>
                <w:color w:val="17212B"/>
                <w:sz w:val="16"/>
              </w:rPr>
              <w:t>38.89%</w:t>
            </w:r>
          </w:p>
        </w:tc>
        <w:tc>
          <w:tcPr>
            <w:tcW w:type="dxa" w:w="3900"/>
            <w:tcMar>
              <w:top w:w="80" w:type="dxa"/>
              <w:start w:w="120" w:type="dxa"/>
              <w:bottom w:w="80" w:type="dxa"/>
              <w:end w:w="120" w:type="dxa"/>
            </w:tcMar>
            <w:vAlign w:val="center"/>
          </w:tcPr>
          <w:p>
            <w:pPr>
              <w:spacing w:after="0"/>
            </w:pPr>
            <w:r>
              <w:rPr>
                <w:rFonts w:ascii="Aptos" w:hAnsi="Aptos"/>
                <w:b w:val="0"/>
                <w:i w:val="0"/>
                <w:color w:val="17212B"/>
                <w:sz w:val="16"/>
              </w:rPr>
              <w:t>blaTEM, tnpR, res</w:t>
            </w:r>
          </w:p>
        </w:tc>
        <w:tc>
          <w:tcPr>
            <w:tcW w:type="dxa" w:w="900"/>
            <w:tcMar>
              <w:top w:w="80" w:type="dxa"/>
              <w:start w:w="120" w:type="dxa"/>
              <w:bottom w:w="80" w:type="dxa"/>
              <w:end w:w="120" w:type="dxa"/>
            </w:tcMar>
            <w:vAlign w:val="center"/>
          </w:tcPr>
          <w:p>
            <w:pPr>
              <w:spacing w:after="0"/>
            </w:pPr>
            <w:r>
              <w:rPr>
                <w:rFonts w:ascii="Aptos" w:hAnsi="Aptos"/>
                <w:b w:val="0"/>
                <w:i w:val="0"/>
                <w:color w:val="17212B"/>
                <w:sz w:val="16"/>
              </w:rPr>
              <w:t>PARTIAL</w:t>
            </w:r>
          </w:p>
        </w:tc>
      </w:tr>
      <w:tr>
        <w:tc>
          <w:tcPr>
            <w:tcW w:type="dxa" w:w="1900"/>
            <w:tcMar>
              <w:top w:w="80" w:type="dxa"/>
              <w:start w:w="120" w:type="dxa"/>
              <w:bottom w:w="80" w:type="dxa"/>
              <w:end w:w="120" w:type="dxa"/>
            </w:tcMar>
            <w:vAlign w:val="center"/>
          </w:tcPr>
          <w:p>
            <w:pPr>
              <w:spacing w:after="0"/>
            </w:pPr>
            <w:r>
              <w:rPr>
                <w:rFonts w:ascii="Aptos" w:hAnsi="Aptos"/>
                <w:b w:val="0"/>
                <w:i w:val="0"/>
                <w:color w:val="17212B"/>
                <w:sz w:val="16"/>
              </w:rPr>
              <w:t>60,316–62,561</w:t>
            </w:r>
          </w:p>
        </w:tc>
        <w:tc>
          <w:tcPr>
            <w:tcW w:type="dxa" w:w="2500"/>
            <w:tcMar>
              <w:top w:w="80" w:type="dxa"/>
              <w:start w:w="120" w:type="dxa"/>
              <w:bottom w:w="80" w:type="dxa"/>
              <w:end w:w="120" w:type="dxa"/>
            </w:tcMar>
            <w:vAlign w:val="center"/>
          </w:tcPr>
          <w:p>
            <w:pPr>
              <w:spacing w:after="0"/>
            </w:pPr>
            <w:r>
              <w:rPr>
                <w:rFonts w:ascii="Aptos" w:hAnsi="Aptos"/>
                <w:b w:val="0"/>
                <w:i w:val="0"/>
                <w:color w:val="17212B"/>
                <w:sz w:val="16"/>
              </w:rPr>
              <w:t>Tn1/2/3 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1700"/>
            <w:tcMar>
              <w:top w:w="80" w:type="dxa"/>
              <w:start w:w="120" w:type="dxa"/>
              <w:bottom w:w="80" w:type="dxa"/>
              <w:end w:w="120" w:type="dxa"/>
            </w:tcMar>
            <w:vAlign w:val="center"/>
          </w:tcPr>
          <w:p>
            <w:pPr>
              <w:spacing w:after="0"/>
            </w:pPr>
            <w:r>
              <w:rPr>
                <w:rFonts w:ascii="Aptos" w:hAnsi="Aptos"/>
                <w:b w:val="0"/>
                <w:i w:val="0"/>
                <w:color w:val="17212B"/>
                <w:sz w:val="16"/>
              </w:rPr>
              <w:t>45.37%</w:t>
            </w:r>
          </w:p>
        </w:tc>
        <w:tc>
          <w:tcPr>
            <w:tcW w:type="dxa" w:w="3900"/>
            <w:tcMar>
              <w:top w:w="80" w:type="dxa"/>
              <w:start w:w="120" w:type="dxa"/>
              <w:bottom w:w="80" w:type="dxa"/>
              <w:end w:w="120" w:type="dxa"/>
            </w:tcMar>
            <w:vAlign w:val="center"/>
          </w:tcPr>
          <w:p>
            <w:pPr>
              <w:spacing w:after="0"/>
            </w:pPr>
            <w:r>
              <w:rPr>
                <w:rFonts w:ascii="Aptos" w:hAnsi="Aptos"/>
                <w:b w:val="0"/>
                <w:i w:val="0"/>
                <w:color w:val="17212B"/>
                <w:sz w:val="16"/>
              </w:rPr>
              <w:t>tnpA</w:t>
            </w:r>
          </w:p>
        </w:tc>
        <w:tc>
          <w:tcPr>
            <w:tcW w:type="dxa" w:w="900"/>
            <w:tcMar>
              <w:top w:w="80" w:type="dxa"/>
              <w:start w:w="120" w:type="dxa"/>
              <w:bottom w:w="80" w:type="dxa"/>
              <w:end w:w="120" w:type="dxa"/>
            </w:tcMar>
            <w:vAlign w:val="center"/>
          </w:tcPr>
          <w:p>
            <w:pPr>
              <w:spacing w:after="0"/>
            </w:pPr>
            <w:r>
              <w:rPr>
                <w:rFonts w:ascii="Aptos" w:hAnsi="Aptos"/>
                <w:b w:val="0"/>
                <w:i w:val="0"/>
                <w:color w:val="17212B"/>
                <w:sz w:val="16"/>
              </w:rPr>
              <w:t>PARTIAL</w:t>
            </w:r>
          </w:p>
        </w:tc>
      </w:tr>
    </w:tbl>
    <w:p>
      <w:pPr>
        <w:spacing w:after="0"/>
      </w:pPr>
    </w:p>
    <w:p>
      <w:pPr>
        <w:keepNext w:val="0"/>
        <w:spacing w:before="0" w:after="120" w:line="264" w:lineRule="auto"/>
      </w:pPr>
      <w:r>
        <w:rPr>
          <w:rFonts w:ascii="Aptos" w:hAnsi="Aptos"/>
          <w:b/>
          <w:i w:val="0"/>
          <w:color w:val="17365D"/>
          <w:sz w:val="20"/>
        </w:rPr>
        <w:t>This is the key natural-context behaviour: two separated Tn2-related regions are retained independently. Neither contains both terminal ends and all required components, so the software does not join them or call an exact Tn2.</w:t>
      </w:r>
    </w:p>
    <w:p>
      <w:pPr>
        <w:keepNext/>
        <w:spacing w:before="0" w:after="60" w:line="264" w:lineRule="auto"/>
      </w:pPr>
      <w:r>
        <w:rPr>
          <w:rFonts w:ascii="Aptos" w:hAnsi="Aptos"/>
          <w:b w:val="0"/>
          <w:i/>
          <w:color w:val="5B6570"/>
          <w:sz w:val="17"/>
        </w:rPr>
        <w:t>Original hierarchy view for the complete 117,536 bp pEK499 record.</w:t>
      </w:r>
    </w:p>
    <w:p>
      <w:pPr>
        <w:spacing w:before="0" w:after="40"/>
        <w:jc w:val="center"/>
      </w:pPr>
      <w:r>
        <w:drawing>
          <wp:inline xmlns:a="http://schemas.openxmlformats.org/drawingml/2006/main" xmlns:pic="http://schemas.openxmlformats.org/drawingml/2006/picture">
            <wp:extent cx="8458200" cy="3009710"/>
            <wp:docPr id="24" name="Picture 24" title="pEK499 hierarchy" descr="Original hierarchy view of pEK499 showing all detected validated-profile features."/>
            <wp:cNvGraphicFramePr>
              <a:graphicFrameLocks noChangeAspect="1"/>
            </wp:cNvGraphicFramePr>
            <a:graphic>
              <a:graphicData uri="http://schemas.openxmlformats.org/drawingml/2006/picture">
                <pic:pic>
                  <pic:nvPicPr>
                    <pic:cNvPr id="0" name="hierarchy-EU935739.1.png"/>
                    <pic:cNvPicPr/>
                  </pic:nvPicPr>
                  <pic:blipFill>
                    <a:blip r:embed="rId82"/>
                    <a:stretch>
                      <a:fillRect/>
                    </a:stretch>
                  </pic:blipFill>
                  <pic:spPr>
                    <a:xfrm>
                      <a:off x="0" y="0"/>
                      <a:ext cx="8458200" cy="3009710"/>
                    </a:xfrm>
                    <a:prstGeom prst="rect"/>
                  </pic:spPr>
                </pic:pic>
              </a:graphicData>
            </a:graphic>
          </wp:inline>
        </w:drawing>
      </w:r>
    </w:p>
    <w:p>
      <w:pPr>
        <w:sectPr>
          <w:headerReference w:type="default" r:id="rId80"/>
          <w:footerReference w:type="default" r:id="rId81"/>
          <w:pgSz w:w="15840" w:h="12240" w:orient="landscape"/>
          <w:pgMar w:top="648" w:right="792" w:bottom="648" w:left="792" w:header="360" w:footer="360" w:gutter="0"/>
          <w:cols w:space="720"/>
          <w:docGrid w:linePitch="360"/>
        </w:sectPr>
      </w:pPr>
    </w:p>
    <w:p>
      <w:pPr>
        <w:pStyle w:val="Heading1"/>
      </w:pPr>
      <w:r>
        <w:t>7.1 pEK499 fragment 38,747–40,671</w:t>
      </w:r>
    </w:p>
    <w:p>
      <w:pPr>
        <w:keepNext w:val="0"/>
        <w:spacing w:before="0" w:after="120" w:line="264" w:lineRule="auto"/>
      </w:pPr>
      <w:r>
        <w:rPr>
          <w:rFonts w:ascii="Aptos" w:hAnsi="Aptos"/>
          <w:b w:val="0"/>
          <w:i w:val="0"/>
          <w:color w:val="17212B"/>
          <w:sz w:val="20"/>
        </w:rPr>
        <w:t>Observed call: Tn1/2/3 fragment; closest reviewed type: Tn2; identity 100.0%; reference coverage 38.89%; proof verdict PARTIAL.</w:t>
      </w:r>
    </w:p>
    <w:p>
      <w:pPr>
        <w:keepNext/>
        <w:spacing w:before="0" w:after="60" w:line="264" w:lineRule="auto"/>
      </w:pPr>
      <w:r>
        <w:rPr>
          <w:rFonts w:ascii="Aptos" w:hAnsi="Aptos"/>
          <w:b w:val="0"/>
          <w:i/>
          <w:color w:val="5B6570"/>
          <w:sz w:val="17"/>
        </w:rPr>
        <w:t>locus map. Missing element ends/components remain visibly absent.</w:t>
      </w:r>
    </w:p>
    <w:p>
      <w:pPr>
        <w:spacing w:before="0" w:after="40"/>
        <w:jc w:val="center"/>
      </w:pPr>
      <w:r>
        <w:drawing>
          <wp:inline xmlns:a="http://schemas.openxmlformats.org/drawingml/2006/main" xmlns:pic="http://schemas.openxmlformats.org/drawingml/2006/picture">
            <wp:extent cx="8458200" cy="2008823"/>
            <wp:docPr id="25" name="Picture 25" title="pEK499 partial Tn1/Tn2/Tn3 locus map" descr="locus partial-fragment map at pEK499 coordinates 38747 to 40671."/>
            <wp:cNvGraphicFramePr>
              <a:graphicFrameLocks noChangeAspect="1"/>
            </wp:cNvGraphicFramePr>
            <a:graphic>
              <a:graphicData uri="http://schemas.openxmlformats.org/drawingml/2006/picture">
                <pic:pic>
                  <pic:nvPicPr>
                    <pic:cNvPr id="0" name="locus-map-EU935739.1__Tn1-2-3_fragment__38747-40671.png"/>
                    <pic:cNvPicPr/>
                  </pic:nvPicPr>
                  <pic:blipFill>
                    <a:blip r:embed="rId85"/>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for the partial call. The partial status and incomplete grammar are explicit.</w:t>
      </w:r>
    </w:p>
    <w:p>
      <w:pPr>
        <w:spacing w:before="0" w:after="40"/>
        <w:jc w:val="center"/>
      </w:pPr>
      <w:r>
        <w:drawing>
          <wp:inline xmlns:a="http://schemas.openxmlformats.org/drawingml/2006/main" xmlns:pic="http://schemas.openxmlformats.org/drawingml/2006/picture">
            <wp:extent cx="8458200" cy="2061686"/>
            <wp:docPr id="26" name="Picture 26" title="pEK499 partial Tn1/Tn2/Tn3 table" descr="locus table for the pEK499 fragment at 38747 to 40671."/>
            <wp:cNvGraphicFramePr>
              <a:graphicFrameLocks noChangeAspect="1"/>
            </wp:cNvGraphicFramePr>
            <a:graphic>
              <a:graphicData uri="http://schemas.openxmlformats.org/drawingml/2006/picture">
                <pic:pic>
                  <pic:nvPicPr>
                    <pic:cNvPr id="0" name="locus-table-EU935739.1__Tn1-2-3_fragment__38747-40671.png"/>
                    <pic:cNvPicPr/>
                  </pic:nvPicPr>
                  <pic:blipFill>
                    <a:blip r:embed="rId86"/>
                    <a:stretch>
                      <a:fillRect/>
                    </a:stretch>
                  </pic:blipFill>
                  <pic:spPr>
                    <a:xfrm>
                      <a:off x="0" y="0"/>
                      <a:ext cx="8458200" cy="2061686"/>
                    </a:xfrm>
                    <a:prstGeom prst="rect"/>
                  </pic:spPr>
                </pic:pic>
              </a:graphicData>
            </a:graphic>
          </wp:inline>
        </w:drawing>
      </w:r>
    </w:p>
    <w:p>
      <w:pPr>
        <w:sectPr>
          <w:headerReference w:type="default" r:id="rId83"/>
          <w:footerReference w:type="default" r:id="rId84"/>
          <w:pgSz w:w="15840" w:h="12240" w:orient="landscape"/>
          <w:pgMar w:top="648" w:right="792" w:bottom="648" w:left="792" w:header="360" w:footer="360" w:gutter="0"/>
          <w:cols w:space="720"/>
          <w:docGrid w:linePitch="360"/>
        </w:sectPr>
      </w:pPr>
    </w:p>
    <w:p>
      <w:pPr>
        <w:pStyle w:val="Heading1"/>
      </w:pPr>
      <w:r>
        <w:t>7.2 pEK499 fragment 60,316–62,561</w:t>
      </w:r>
    </w:p>
    <w:p>
      <w:pPr>
        <w:keepNext w:val="0"/>
        <w:spacing w:before="0" w:after="120" w:line="264" w:lineRule="auto"/>
      </w:pPr>
      <w:r>
        <w:rPr>
          <w:rFonts w:ascii="Aptos" w:hAnsi="Aptos"/>
          <w:b w:val="0"/>
          <w:i w:val="0"/>
          <w:color w:val="17212B"/>
          <w:sz w:val="20"/>
        </w:rPr>
        <w:t>Observed call: Tn1/2/3 fragment; closest reviewed type: Tn2; identity 100.0%; reference coverage 45.37%; proof verdict PARTIAL.</w:t>
      </w:r>
    </w:p>
    <w:p>
      <w:pPr>
        <w:keepNext/>
        <w:spacing w:before="0" w:after="60" w:line="264" w:lineRule="auto"/>
      </w:pPr>
      <w:r>
        <w:rPr>
          <w:rFonts w:ascii="Aptos" w:hAnsi="Aptos"/>
          <w:b w:val="0"/>
          <w:i/>
          <w:color w:val="5B6570"/>
          <w:sz w:val="17"/>
        </w:rPr>
        <w:t>locus map. Missing element ends/components remain visibly absent.</w:t>
      </w:r>
    </w:p>
    <w:p>
      <w:pPr>
        <w:spacing w:before="0" w:after="40"/>
        <w:jc w:val="center"/>
      </w:pPr>
      <w:r>
        <w:drawing>
          <wp:inline xmlns:a="http://schemas.openxmlformats.org/drawingml/2006/main" xmlns:pic="http://schemas.openxmlformats.org/drawingml/2006/picture">
            <wp:extent cx="8458200" cy="2008823"/>
            <wp:docPr id="27" name="Picture 27" title="pEK499 partial Tn1/Tn2/Tn3 locus map" descr="locus partial-fragment map at pEK499 coordinates 60316 to 62561."/>
            <wp:cNvGraphicFramePr>
              <a:graphicFrameLocks noChangeAspect="1"/>
            </wp:cNvGraphicFramePr>
            <a:graphic>
              <a:graphicData uri="http://schemas.openxmlformats.org/drawingml/2006/picture">
                <pic:pic>
                  <pic:nvPicPr>
                    <pic:cNvPr id="0" name="locus-map-EU935739.1__Tn1-2-3_fragment__60316-62561.png"/>
                    <pic:cNvPicPr/>
                  </pic:nvPicPr>
                  <pic:blipFill>
                    <a:blip r:embed="rId89"/>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for the partial call. The partial status and incomplete grammar are explicit.</w:t>
      </w:r>
    </w:p>
    <w:p>
      <w:pPr>
        <w:spacing w:before="0" w:after="40"/>
        <w:jc w:val="center"/>
      </w:pPr>
      <w:r>
        <w:drawing>
          <wp:inline xmlns:a="http://schemas.openxmlformats.org/drawingml/2006/main" xmlns:pic="http://schemas.openxmlformats.org/drawingml/2006/picture">
            <wp:extent cx="8458200" cy="3161252"/>
            <wp:docPr id="28" name="Picture 28" title="pEK499 partial Tn1/Tn2/Tn3 table" descr="locus table for the pEK499 fragment at 60316 to 62561."/>
            <wp:cNvGraphicFramePr>
              <a:graphicFrameLocks noChangeAspect="1"/>
            </wp:cNvGraphicFramePr>
            <a:graphic>
              <a:graphicData uri="http://schemas.openxmlformats.org/drawingml/2006/picture">
                <pic:pic>
                  <pic:nvPicPr>
                    <pic:cNvPr id="0" name="locus-table-EU935739.1__Tn1-2-3_fragment__60316-62561.png"/>
                    <pic:cNvPicPr/>
                  </pic:nvPicPr>
                  <pic:blipFill>
                    <a:blip r:embed="rId90"/>
                    <a:stretch>
                      <a:fillRect/>
                    </a:stretch>
                  </pic:blipFill>
                  <pic:spPr>
                    <a:xfrm>
                      <a:off x="0" y="0"/>
                      <a:ext cx="8458200" cy="3161252"/>
                    </a:xfrm>
                    <a:prstGeom prst="rect"/>
                  </pic:spPr>
                </pic:pic>
              </a:graphicData>
            </a:graphic>
          </wp:inline>
        </w:drawing>
      </w:r>
    </w:p>
    <w:p>
      <w:pPr>
        <w:sectPr>
          <w:headerReference w:type="default" r:id="rId87"/>
          <w:footerReference w:type="default" r:id="rId88"/>
          <w:pgSz w:w="15840" w:h="12240" w:orient="landscape"/>
          <w:pgMar w:top="648" w:right="792" w:bottom="648" w:left="792" w:header="360" w:footer="360" w:gutter="0"/>
          <w:cols w:space="720"/>
          <w:docGrid w:linePitch="360"/>
        </w:sectPr>
      </w:pPr>
    </w:p>
    <w:p>
      <w:pPr>
        <w:pStyle w:val="Heading1"/>
      </w:pPr>
      <w:r>
        <w:t>8. Arbitrary-sequence demonstration</w:t>
      </w:r>
    </w:p>
    <w:p>
      <w:pPr>
        <w:keepNext w:val="0"/>
        <w:spacing w:before="0" w:after="120" w:line="264" w:lineRule="auto"/>
      </w:pPr>
      <w:r>
        <w:rPr>
          <w:rFonts w:ascii="Aptos" w:hAnsi="Aptos"/>
          <w:b w:val="0"/>
          <w:i w:val="0"/>
          <w:color w:val="17212B"/>
          <w:sz w:val="21"/>
        </w:rPr>
        <w:t>A single 44,647 bp contig was constructed with unrelated flanking sequence and three loci: a Tn1-derived sequence with 25 substitutions, a Tn2-derived sequence with an approximately 800 bp internal insertion, and a reverse-complement Tn3-derived sequence. It was processed with --profile tn123-components, which excludes complete Tn1/Tn2/Tn3 reference lookup. Every biological call below therefore comes from detected components and expert rules.</w:t>
      </w:r>
    </w:p>
    <w:tbl>
      <w:tblPr>
        <w:tblStyle w:val="TableGrid"/>
        <w:tblW w:type="dxa" w:w="9500"/>
        <w:jc w:val="center"/>
        <w:tblLayout w:type="fixed"/>
        <w:tblLook w:firstColumn="1" w:firstRow="1" w:lastColumn="0" w:lastRow="0" w:noHBand="0" w:noVBand="1" w:val="04A0"/>
        <w:tblInd w:w="120" w:type="dxa"/>
      </w:tblPr>
      <w:tblGrid>
        <w:gridCol w:w="2100"/>
        <w:gridCol w:w="1900"/>
        <w:gridCol w:w="800"/>
        <w:gridCol w:w="1200"/>
        <w:gridCol w:w="1300"/>
        <w:gridCol w:w="1300"/>
        <w:gridCol w:w="900"/>
      </w:tblGrid>
      <w:tr>
        <w:trPr>
          <w:tblHeader w:val="true"/>
        </w:trPr>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7"/>
              </w:rPr>
              <w:t>Coordinates</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7"/>
              </w:rPr>
              <w:t>Call</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7"/>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7"/>
              </w:rPr>
              <w:t>Rule type</w:t>
            </w:r>
          </w:p>
        </w:tc>
        <w:tc>
          <w:tcPr>
            <w:tcW w:type="dxa" w:w="1300"/>
            <w:tcMar>
              <w:top w:w="80" w:type="dxa"/>
              <w:start w:w="120" w:type="dxa"/>
              <w:bottom w:w="80" w:type="dxa"/>
              <w:end w:w="120" w:type="dxa"/>
            </w:tcMar>
            <w:vAlign w:val="center"/>
            <w:shd w:fill="F2F4F7"/>
          </w:tcPr>
          <w:p>
            <w:pPr>
              <w:spacing w:after="0"/>
            </w:pPr>
            <w:r>
              <w:rPr>
                <w:rFonts w:ascii="Aptos" w:hAnsi="Aptos"/>
                <w:b/>
                <w:i w:val="0"/>
                <w:color w:val="17365D"/>
                <w:sz w:val="17"/>
              </w:rPr>
              <w:t>Backbone haplotype</w:t>
            </w:r>
          </w:p>
        </w:tc>
        <w:tc>
          <w:tcPr>
            <w:tcW w:type="dxa" w:w="1300"/>
            <w:tcMar>
              <w:top w:w="80" w:type="dxa"/>
              <w:start w:w="120" w:type="dxa"/>
              <w:bottom w:w="80" w:type="dxa"/>
              <w:end w:w="120" w:type="dxa"/>
            </w:tcMar>
            <w:vAlign w:val="center"/>
            <w:shd w:fill="F2F4F7"/>
          </w:tcPr>
          <w:p>
            <w:pPr>
              <w:spacing w:after="0"/>
            </w:pPr>
            <w:r>
              <w:rPr>
                <w:rFonts w:ascii="Aptos" w:hAnsi="Aptos"/>
                <w:b/>
                <w:i w:val="0"/>
                <w:color w:val="17365D"/>
                <w:sz w:val="17"/>
              </w:rPr>
              <w:t>Whole-element lookup</w:t>
            </w:r>
          </w:p>
        </w:tc>
        <w:tc>
          <w:tcPr>
            <w:tcW w:type="dxa" w:w="900"/>
            <w:tcMar>
              <w:top w:w="80" w:type="dxa"/>
              <w:start w:w="120" w:type="dxa"/>
              <w:bottom w:w="80" w:type="dxa"/>
              <w:end w:w="120" w:type="dxa"/>
            </w:tcMar>
            <w:vAlign w:val="center"/>
            <w:shd w:fill="F2F4F7"/>
          </w:tcPr>
          <w:p>
            <w:pPr>
              <w:spacing w:after="0"/>
            </w:pPr>
            <w:r>
              <w:rPr>
                <w:rFonts w:ascii="Aptos" w:hAnsi="Aptos"/>
                <w:b/>
                <w:i w:val="0"/>
                <w:color w:val="17365D"/>
                <w:sz w:val="17"/>
              </w:rPr>
              <w:t>Proof</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8,001–12,949</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Tn1-like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Tn1</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tnpR_Tn1_Tn3 + tnpA_Tn1_Tn2</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none</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19,950–25,699</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Tn2-like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Tn2</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tnpR_Tn2 + tnpA_Tn1_Tn2</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none</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31,700–36,647</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Tn3-like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Tn3</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tnpR_Tn1_Tn3 + tnpA_Tn3</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none</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bl>
    <w:p>
      <w:pPr>
        <w:spacing w:after="0"/>
      </w:pPr>
    </w:p>
    <w:p>
      <w:pPr>
        <w:keepNext/>
        <w:spacing w:before="0" w:after="60" w:line="264" w:lineRule="auto"/>
      </w:pPr>
      <w:r>
        <w:rPr>
          <w:rFonts w:ascii="Aptos" w:hAnsi="Aptos"/>
          <w:b w:val="0"/>
          <w:i/>
          <w:color w:val="5B6570"/>
          <w:sz w:val="17"/>
        </w:rPr>
        <w:t>Original hierarchy view: all three loci are retained on their shared contig and nested features remain visible.</w:t>
      </w:r>
    </w:p>
    <w:p>
      <w:pPr>
        <w:spacing w:before="0" w:after="40"/>
        <w:jc w:val="center"/>
      </w:pPr>
      <w:r>
        <w:drawing>
          <wp:inline xmlns:a="http://schemas.openxmlformats.org/drawingml/2006/main" xmlns:pic="http://schemas.openxmlformats.org/drawingml/2006/picture">
            <wp:extent cx="8458200" cy="2551557"/>
            <wp:docPr id="29" name="Picture 29" title="Arbitrary contig hierarchy" descr="Original hierarchical view of a 44.6 kb arbitrary contig containing three Tn1/Tn2/Tn3 loci."/>
            <wp:cNvGraphicFramePr>
              <a:graphicFrameLocks noChangeAspect="1"/>
            </wp:cNvGraphicFramePr>
            <a:graphic>
              <a:graphicData uri="http://schemas.openxmlformats.org/drawingml/2006/picture">
                <pic:pic>
                  <pic:nvPicPr>
                    <pic:cNvPr id="0" name="hierarchy-arbitrary_demo_contig.png"/>
                    <pic:cNvPicPr/>
                  </pic:nvPicPr>
                  <pic:blipFill>
                    <a:blip r:embed="rId93"/>
                    <a:stretch>
                      <a:fillRect/>
                    </a:stretch>
                  </pic:blipFill>
                  <pic:spPr>
                    <a:xfrm>
                      <a:off x="0" y="0"/>
                      <a:ext cx="8458200" cy="2551557"/>
                    </a:xfrm>
                    <a:prstGeom prst="rect"/>
                  </pic:spPr>
                </pic:pic>
              </a:graphicData>
            </a:graphic>
          </wp:inline>
        </w:drawing>
      </w:r>
    </w:p>
    <w:p>
      <w:pPr>
        <w:sectPr>
          <w:headerReference w:type="default" r:id="rId91"/>
          <w:footerReference w:type="default" r:id="rId92"/>
          <w:pgSz w:w="15840" w:h="12240" w:orient="landscape"/>
          <w:pgMar w:top="648" w:right="792" w:bottom="648" w:left="792" w:header="360" w:footer="360" w:gutter="0"/>
          <w:cols w:space="720"/>
          <w:docGrid w:linePitch="360"/>
        </w:sectPr>
      </w:pPr>
    </w:p>
    <w:p>
      <w:pPr>
        <w:pStyle w:val="Heading1"/>
      </w:pPr>
      <w:r>
        <w:t>8.1 Arbitrary contig locus — Tn1-like</w:t>
      </w:r>
    </w:p>
    <w:p>
      <w:pPr>
        <w:keepNext w:val="0"/>
        <w:spacing w:before="0" w:after="120" w:line="264" w:lineRule="auto"/>
      </w:pPr>
      <w:r>
        <w:rPr>
          <w:rFonts w:ascii="Aptos" w:hAnsi="Aptos"/>
          <w:b w:val="0"/>
          <w:i w:val="0"/>
          <w:color w:val="17212B"/>
          <w:sz w:val="21"/>
        </w:rPr>
        <w:t>The component grammar is complete and the expert backbone-haplotype rule assigns Tn1. No complete Tn1/Tn2/Tn3 reference comparison was run; the visible call is Tn1-like. Insertions and other structural differences are retained from split component alignments and shown in the map/table.</w:t>
      </w:r>
    </w:p>
    <w:p>
      <w:pPr>
        <w:spacing w:before="0" w:after="40"/>
        <w:jc w:val="center"/>
      </w:pPr>
      <w:r>
        <w:drawing>
          <wp:inline xmlns:a="http://schemas.openxmlformats.org/drawingml/2006/main" xmlns:pic="http://schemas.openxmlformats.org/drawingml/2006/picture">
            <wp:extent cx="8458200" cy="2008823"/>
            <wp:docPr id="30" name="Picture 30" title="Arbitrary contig Tn1-like locus map" descr="locus map of the detected Tn1-like locus on the arbitrary contig."/>
            <wp:cNvGraphicFramePr>
              <a:graphicFrameLocks noChangeAspect="1"/>
            </wp:cNvGraphicFramePr>
            <a:graphic>
              <a:graphicData uri="http://schemas.openxmlformats.org/drawingml/2006/picture">
                <pic:pic>
                  <pic:nvPicPr>
                    <pic:cNvPr id="0" name="locus-map-arbitrary_demo_contig__Tn1-like__8001-12949.png"/>
                    <pic:cNvPicPr/>
                  </pic:nvPicPr>
                  <pic:blipFill>
                    <a:blip r:embed="rId96"/>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2421160"/>
            <wp:docPr id="31" name="Picture 31" title="Arbitrary contig Tn1-like locus table" descr="locus evidence table for the detected Tn1-like locus."/>
            <wp:cNvGraphicFramePr>
              <a:graphicFrameLocks noChangeAspect="1"/>
            </wp:cNvGraphicFramePr>
            <a:graphic>
              <a:graphicData uri="http://schemas.openxmlformats.org/drawingml/2006/picture">
                <pic:pic>
                  <pic:nvPicPr>
                    <pic:cNvPr id="0" name="locus-table-arbitrary_demo_contig__Tn1-like__8001-12949.png"/>
                    <pic:cNvPicPr/>
                  </pic:nvPicPr>
                  <pic:blipFill>
                    <a:blip r:embed="rId97"/>
                    <a:stretch>
                      <a:fillRect/>
                    </a:stretch>
                  </pic:blipFill>
                  <pic:spPr>
                    <a:xfrm>
                      <a:off x="0" y="0"/>
                      <a:ext cx="8458200" cy="2421160"/>
                    </a:xfrm>
                    <a:prstGeom prst="rect"/>
                  </pic:spPr>
                </pic:pic>
              </a:graphicData>
            </a:graphic>
          </wp:inline>
        </w:drawing>
      </w:r>
    </w:p>
    <w:p>
      <w:pPr>
        <w:sectPr>
          <w:headerReference w:type="default" r:id="rId94"/>
          <w:footerReference w:type="default" r:id="rId95"/>
          <w:pgSz w:w="15840" w:h="12240" w:orient="landscape"/>
          <w:pgMar w:top="648" w:right="792" w:bottom="648" w:left="792" w:header="360" w:footer="360" w:gutter="0"/>
          <w:cols w:space="720"/>
          <w:docGrid w:linePitch="360"/>
        </w:sectPr>
      </w:pPr>
    </w:p>
    <w:p>
      <w:pPr>
        <w:pStyle w:val="Heading1"/>
      </w:pPr>
      <w:r>
        <w:t>8.2 Arbitrary contig locus — Tn2-like</w:t>
      </w:r>
    </w:p>
    <w:p>
      <w:pPr>
        <w:keepNext w:val="0"/>
        <w:spacing w:before="0" w:after="120" w:line="264" w:lineRule="auto"/>
      </w:pPr>
      <w:r>
        <w:rPr>
          <w:rFonts w:ascii="Aptos" w:hAnsi="Aptos"/>
          <w:b w:val="0"/>
          <w:i w:val="0"/>
          <w:color w:val="17212B"/>
          <w:sz w:val="21"/>
        </w:rPr>
        <w:t>The component grammar is complete and the expert backbone-haplotype rule assigns Tn2. No complete Tn1/Tn2/Tn3 reference comparison was run; the visible call is Tn2-like. Insertions and other structural differences are retained from split component alignments and shown in the map/table.</w:t>
      </w:r>
    </w:p>
    <w:p>
      <w:pPr>
        <w:spacing w:before="0" w:after="40"/>
        <w:jc w:val="center"/>
      </w:pPr>
      <w:r>
        <w:drawing>
          <wp:inline xmlns:a="http://schemas.openxmlformats.org/drawingml/2006/main" xmlns:pic="http://schemas.openxmlformats.org/drawingml/2006/picture">
            <wp:extent cx="7909560" cy="1878520"/>
            <wp:docPr id="32" name="Picture 32" title="Arbitrary contig Tn2-like locus map" descr="locus map of the detected Tn2-like locus on the arbitrary contig."/>
            <wp:cNvGraphicFramePr>
              <a:graphicFrameLocks noChangeAspect="1"/>
            </wp:cNvGraphicFramePr>
            <a:graphic>
              <a:graphicData uri="http://schemas.openxmlformats.org/drawingml/2006/picture">
                <pic:pic>
                  <pic:nvPicPr>
                    <pic:cNvPr id="0" name="locus-map-arbitrary_demo_contig__Tn2-like__19950-25699.png"/>
                    <pic:cNvPicPr/>
                  </pic:nvPicPr>
                  <pic:blipFill>
                    <a:blip r:embed="rId100"/>
                    <a:stretch>
                      <a:fillRect/>
                    </a:stretch>
                  </pic:blipFill>
                  <pic:spPr>
                    <a:xfrm>
                      <a:off x="0" y="0"/>
                      <a:ext cx="7909560" cy="1878520"/>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7909560" cy="2511285"/>
            <wp:docPr id="33" name="Picture 33" title="Arbitrary contig Tn2-like locus table" descr="locus evidence table for the detected Tn2-like locus."/>
            <wp:cNvGraphicFramePr>
              <a:graphicFrameLocks noChangeAspect="1"/>
            </wp:cNvGraphicFramePr>
            <a:graphic>
              <a:graphicData uri="http://schemas.openxmlformats.org/drawingml/2006/picture">
                <pic:pic>
                  <pic:nvPicPr>
                    <pic:cNvPr id="0" name="locus-table-arbitrary_demo_contig__Tn2-like__19950-25699.png"/>
                    <pic:cNvPicPr/>
                  </pic:nvPicPr>
                  <pic:blipFill>
                    <a:blip r:embed="rId101"/>
                    <a:stretch>
                      <a:fillRect/>
                    </a:stretch>
                  </pic:blipFill>
                  <pic:spPr>
                    <a:xfrm>
                      <a:off x="0" y="0"/>
                      <a:ext cx="7909560" cy="2511285"/>
                    </a:xfrm>
                    <a:prstGeom prst="rect"/>
                  </pic:spPr>
                </pic:pic>
              </a:graphicData>
            </a:graphic>
          </wp:inline>
        </w:drawing>
      </w:r>
    </w:p>
    <w:p>
      <w:pPr>
        <w:sectPr>
          <w:headerReference w:type="default" r:id="rId98"/>
          <w:footerReference w:type="default" r:id="rId99"/>
          <w:pgSz w:w="15840" w:h="12240" w:orient="landscape"/>
          <w:pgMar w:top="648" w:right="792" w:bottom="648" w:left="792" w:header="360" w:footer="360" w:gutter="0"/>
          <w:cols w:space="720"/>
          <w:docGrid w:linePitch="360"/>
        </w:sectPr>
      </w:pPr>
    </w:p>
    <w:p>
      <w:pPr>
        <w:pStyle w:val="Heading1"/>
      </w:pPr>
      <w:r>
        <w:t>8.3 Arbitrary contig locus — Tn3-like</w:t>
      </w:r>
    </w:p>
    <w:p>
      <w:pPr>
        <w:keepNext w:val="0"/>
        <w:spacing w:before="0" w:after="120" w:line="264" w:lineRule="auto"/>
      </w:pPr>
      <w:r>
        <w:rPr>
          <w:rFonts w:ascii="Aptos" w:hAnsi="Aptos"/>
          <w:b w:val="0"/>
          <w:i w:val="0"/>
          <w:color w:val="17212B"/>
          <w:sz w:val="21"/>
        </w:rPr>
        <w:t>The component grammar is complete and the expert backbone-haplotype rule assigns Tn3. No complete Tn1/Tn2/Tn3 reference comparison was run; the visible call is Tn3-like. Insertions and other structural differences are retained from split component alignments and shown in the map/table.</w:t>
      </w:r>
    </w:p>
    <w:p>
      <w:pPr>
        <w:spacing w:before="0" w:after="40"/>
        <w:jc w:val="center"/>
      </w:pPr>
      <w:r>
        <w:drawing>
          <wp:inline xmlns:a="http://schemas.openxmlformats.org/drawingml/2006/main" xmlns:pic="http://schemas.openxmlformats.org/drawingml/2006/picture">
            <wp:extent cx="8458200" cy="2008823"/>
            <wp:docPr id="34" name="Picture 34" title="Arbitrary contig Tn3-like locus map" descr="locus map of the detected Tn3-like locus on the arbitrary contig."/>
            <wp:cNvGraphicFramePr>
              <a:graphicFrameLocks noChangeAspect="1"/>
            </wp:cNvGraphicFramePr>
            <a:graphic>
              <a:graphicData uri="http://schemas.openxmlformats.org/drawingml/2006/picture">
                <pic:pic>
                  <pic:nvPicPr>
                    <pic:cNvPr id="0" name="locus-map-arbitrary_demo_contig__Tn3-like__31700-36647.png"/>
                    <pic:cNvPicPr/>
                  </pic:nvPicPr>
                  <pic:blipFill>
                    <a:blip r:embed="rId104"/>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2421160"/>
            <wp:docPr id="35" name="Picture 35" title="Arbitrary contig Tn3-like locus table" descr="locus evidence table for the detected Tn3-like locus."/>
            <wp:cNvGraphicFramePr>
              <a:graphicFrameLocks noChangeAspect="1"/>
            </wp:cNvGraphicFramePr>
            <a:graphic>
              <a:graphicData uri="http://schemas.openxmlformats.org/drawingml/2006/picture">
                <pic:pic>
                  <pic:nvPicPr>
                    <pic:cNvPr id="0" name="locus-table-arbitrary_demo_contig__Tn3-like__31700-36647.png"/>
                    <pic:cNvPicPr/>
                  </pic:nvPicPr>
                  <pic:blipFill>
                    <a:blip r:embed="rId105"/>
                    <a:stretch>
                      <a:fillRect/>
                    </a:stretch>
                  </pic:blipFill>
                  <pic:spPr>
                    <a:xfrm>
                      <a:off x="0" y="0"/>
                      <a:ext cx="8458200" cy="2421160"/>
                    </a:xfrm>
                    <a:prstGeom prst="rect"/>
                  </pic:spPr>
                </pic:pic>
              </a:graphicData>
            </a:graphic>
          </wp:inline>
        </w:drawing>
      </w:r>
    </w:p>
    <w:p>
      <w:pPr>
        <w:sectPr>
          <w:headerReference w:type="default" r:id="rId102"/>
          <w:footerReference w:type="default" r:id="rId103"/>
          <w:pgSz w:w="15840" w:h="12240" w:orient="landscape"/>
          <w:pgMar w:top="648" w:right="792" w:bottom="648" w:left="792" w:header="360" w:footer="360" w:gutter="0"/>
          <w:cols w:space="720"/>
          <w:docGrid w:linePitch="360"/>
        </w:sectPr>
      </w:pPr>
    </w:p>
    <w:p>
      <w:pPr>
        <w:pStyle w:val="Heading1"/>
      </w:pPr>
      <w:r>
        <w:t>9. Output package and interpretation</w:t>
      </w:r>
    </w:p>
    <w:tbl>
      <w:tblPr>
        <w:tblStyle w:val="TableGrid"/>
        <w:tblW w:type="dxa" w:w="8460"/>
        <w:jc w:val="center"/>
        <w:tblLayout w:type="fixed"/>
        <w:tblLook w:firstColumn="1" w:firstRow="1" w:lastColumn="0" w:lastRow="0" w:noHBand="0" w:noVBand="1" w:val="04A0"/>
        <w:tblInd w:w="120" w:type="dxa"/>
      </w:tblPr>
      <w:tblGrid>
        <w:gridCol w:w="2700"/>
        <w:gridCol w:w="5760"/>
      </w:tblGrid>
      <w:tr>
        <w:trPr>
          <w:tblHeader w:val="true"/>
        </w:trPr>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8"/>
              </w:rPr>
              <w:t>Output</w:t>
            </w:r>
          </w:p>
        </w:tc>
        <w:tc>
          <w:tcPr>
            <w:tcW w:type="dxa" w:w="5760"/>
            <w:tcMar>
              <w:top w:w="80" w:type="dxa"/>
              <w:start w:w="120" w:type="dxa"/>
              <w:bottom w:w="80" w:type="dxa"/>
              <w:end w:w="120" w:type="dxa"/>
            </w:tcMar>
            <w:vAlign w:val="center"/>
            <w:shd w:fill="F2F4F7"/>
          </w:tcPr>
          <w:p>
            <w:pPr>
              <w:spacing w:after="0"/>
            </w:pPr>
            <w:r>
              <w:rPr>
                <w:rFonts w:ascii="Aptos" w:hAnsi="Aptos"/>
                <w:b/>
                <w:i w:val="0"/>
                <w:color w:val="17365D"/>
                <w:sz w:val="18"/>
              </w:rPr>
              <w:t>Purpose</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annotation.json</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Complete machine-readable hierarchy, identifiers, coordinates, evidence, definitions and confidence.</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annotation.gff3</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Interoperable genomic feature annotation.</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annotation.cell</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Original nested CellGen/Wolvercote representation.</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hierarchy/*.svg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Original scale-accurate parent-child view of the record.</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locus-map/*.svg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Readable locus-centred locus map with its own legend/key.</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locus-table/*.svg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locus feature/evidence table for the same locus.</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proof/report.html</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Linked human-readable evidence report.</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proof/proof.json; components.tsv; matches.tsv</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Machine-checkable component-to-call ledger.</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run.json</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Run metadata plus direct paths to every generated locus map and table.</w:t>
            </w:r>
          </w:p>
        </w:tc>
      </w:tr>
    </w:tbl>
    <w:p>
      <w:pPr>
        <w:spacing w:after="0"/>
      </w:pPr>
    </w:p>
    <w:p>
      <w:pPr>
        <w:pStyle w:val="Heading2"/>
      </w:pPr>
      <w:r>
        <w:t>CellGen example</w:t>
      </w:r>
    </w:p>
    <w:p>
      <w:pPr>
        <w:spacing w:before="80" w:after="160" w:line="240" w:lineRule="auto"/>
        <w:ind w:left="259" w:right="259"/>
        <w:shd w:fill="EEF5FB"/>
      </w:pPr>
      <w:r>
        <w:rPr>
          <w:rFonts w:ascii="Aptos Mono" w:hAnsi="Aptos Mono"/>
          <w:b w:val="0"/>
          <w:i w:val="0"/>
          <w:color w:val="17212B"/>
          <w:sz w:val="16"/>
        </w:rPr>
        <w:t>({{}IRL, {}blaTEM-2, {}tnpR, {}res, {}tnpA, {}IRR}Tn1[family="Tn1"])Tn1_NC_008357</w:t>
      </w:r>
    </w:p>
    <w:p>
      <w:pPr>
        <w:keepNext w:val="0"/>
        <w:spacing w:before="0" w:after="120" w:line="264" w:lineRule="auto"/>
      </w:pPr>
      <w:r>
        <w:rPr>
          <w:rFonts w:ascii="Aptos" w:hAnsi="Aptos"/>
          <w:b w:val="0"/>
          <w:i w:val="0"/>
          <w:color w:val="17212B"/>
          <w:sz w:val="21"/>
        </w:rPr>
        <w:t>The CellGen line carries the same nesting as the hierarchy graphic: the six components are children of Tn1, which belongs to the input record.</w:t>
      </w:r>
    </w:p>
    <w:p>
      <w:pPr>
        <w:pStyle w:val="Heading2"/>
      </w:pPr>
      <w:r>
        <w:t>How to read the figures</w:t>
      </w:r>
    </w:p>
    <w:p>
      <w:pPr>
        <w:pStyle w:val="ListBullet"/>
        <w:spacing w:after="80" w:line="264" w:lineRule="auto"/>
      </w:pPr>
      <w:r>
        <w:rPr>
          <w:rFonts w:ascii="Aptos" w:hAnsi="Aptos"/>
          <w:b w:val="0"/>
          <w:i w:val="0"/>
          <w:color w:val="17212B"/>
          <w:sz w:val="20"/>
        </w:rPr>
        <w:t>The locus maps prioritises biological readability around one locus.</w:t>
      </w:r>
    </w:p>
    <w:p>
      <w:pPr>
        <w:pStyle w:val="ListBullet"/>
        <w:spacing w:after="80" w:line="264" w:lineRule="auto"/>
      </w:pPr>
      <w:r>
        <w:rPr>
          <w:rFonts w:ascii="Aptos" w:hAnsi="Aptos"/>
          <w:b w:val="0"/>
          <w:i w:val="0"/>
          <w:color w:val="17212B"/>
          <w:sz w:val="20"/>
        </w:rPr>
        <w:t>The locus table is the feature-by-feature description, including evidence and call qualification.</w:t>
      </w:r>
    </w:p>
    <w:p>
      <w:pPr>
        <w:pStyle w:val="ListBullet"/>
        <w:spacing w:after="80" w:line="264" w:lineRule="auto"/>
      </w:pPr>
      <w:r>
        <w:rPr>
          <w:rFonts w:ascii="Aptos" w:hAnsi="Aptos"/>
          <w:b w:val="0"/>
          <w:i w:val="0"/>
          <w:color w:val="17212B"/>
          <w:sz w:val="20"/>
        </w:rPr>
        <w:t>The hierarchy view preserves scale and parent-child nesting across the whole record.</w:t>
      </w:r>
    </w:p>
    <w:p>
      <w:pPr>
        <w:pStyle w:val="ListBullet"/>
        <w:spacing w:after="80" w:line="264" w:lineRule="auto"/>
      </w:pPr>
      <w:r>
        <w:rPr>
          <w:rFonts w:ascii="Aptos" w:hAnsi="Aptos"/>
          <w:b w:val="0"/>
          <w:i w:val="0"/>
          <w:color w:val="17212B"/>
          <w:sz w:val="20"/>
        </w:rPr>
        <w:t>The proof ledger separates sequence-detected required components from context added from a reviewed subtype definition.</w:t>
      </w:r>
    </w:p>
    <w:p>
      <w:pPr>
        <w:pStyle w:val="ListBullet"/>
        <w:spacing w:after="80" w:line="264" w:lineRule="auto"/>
      </w:pPr>
      <w:r>
        <w:rPr>
          <w:rFonts w:ascii="Aptos" w:hAnsi="Aptos"/>
          <w:b w:val="0"/>
          <w:i w:val="0"/>
          <w:color w:val="17212B"/>
          <w:sz w:val="20"/>
        </w:rPr>
        <w:t>The legend/key is embedded in every locus map and table so the symbols are interpretable without prior experience of the notation.</w:t>
      </w:r>
    </w:p>
    <w:p>
      <w:pPr>
        <w:pStyle w:val="Heading1"/>
      </w:pPr>
      <w:r>
        <w:t>10. Limitations and what should happen next</w:t>
      </w:r>
    </w:p>
    <w:p>
      <w:pPr>
        <w:keepNext w:val="0"/>
        <w:spacing w:before="0" w:after="80" w:line="264" w:lineRule="auto"/>
      </w:pPr>
      <w:r>
        <w:rPr>
          <w:rFonts w:ascii="Aptos" w:hAnsi="Aptos"/>
          <w:b/>
          <w:i w:val="0"/>
          <w:color w:val="17633A"/>
          <w:sz w:val="23"/>
        </w:rPr>
        <w:t>What is proven now</w:t>
      </w:r>
    </w:p>
    <w:p>
      <w:pPr>
        <w:keepNext w:val="0"/>
        <w:spacing w:before="0" w:after="120" w:line="264" w:lineRule="auto"/>
      </w:pPr>
      <w:r>
        <w:rPr>
          <w:rFonts w:ascii="Aptos" w:hAnsi="Aptos"/>
          <w:b w:val="0"/>
          <w:i w:val="0"/>
          <w:color w:val="17212B"/>
          <w:sz w:val="21"/>
        </w:rPr>
        <w:t>The implementation can recover the defined components, apply reviewable Tn1/Tn2/Tn3 rules, distinguish exact from qualified and partial calls, and generate the complete set of requested outputs on the included controls and demonstrations.</w:t>
      </w:r>
    </w:p>
    <w:p>
      <w:pPr>
        <w:keepNext w:val="0"/>
        <w:spacing w:before="160" w:after="80" w:line="264" w:lineRule="auto"/>
      </w:pPr>
      <w:r>
        <w:rPr>
          <w:rFonts w:ascii="Aptos" w:hAnsi="Aptos"/>
          <w:b/>
          <w:i w:val="0"/>
          <w:color w:val="17365D"/>
          <w:sz w:val="23"/>
        </w:rPr>
        <w:t>What is not yet proven</w:t>
      </w:r>
    </w:p>
    <w:p>
      <w:pPr>
        <w:pStyle w:val="ListBullet"/>
        <w:spacing w:after="80" w:line="264" w:lineRule="auto"/>
      </w:pPr>
      <w:r>
        <w:rPr>
          <w:rFonts w:ascii="Aptos" w:hAnsi="Aptos"/>
          <w:b w:val="0"/>
          <w:i w:val="0"/>
          <w:color w:val="17212B"/>
          <w:sz w:val="20"/>
        </w:rPr>
        <w:t>Population-level sensitivity and specificity across a large independent accession panel.</w:t>
      </w:r>
    </w:p>
    <w:p>
      <w:pPr>
        <w:pStyle w:val="ListBullet"/>
        <w:spacing w:after="80" w:line="264" w:lineRule="auto"/>
      </w:pPr>
      <w:r>
        <w:rPr>
          <w:rFonts w:ascii="Aptos" w:hAnsi="Aptos"/>
          <w:b w:val="0"/>
          <w:i w:val="0"/>
          <w:color w:val="17212B"/>
          <w:sz w:val="20"/>
        </w:rPr>
        <w:t>Exhaustive subtype coverage or complete parity with every component and compound element described across the source literature.</w:t>
      </w:r>
    </w:p>
    <w:p>
      <w:pPr>
        <w:pStyle w:val="ListBullet"/>
        <w:spacing w:after="80" w:line="264" w:lineRule="auto"/>
      </w:pPr>
      <w:r>
        <w:rPr>
          <w:rFonts w:ascii="Aptos" w:hAnsi="Aptos"/>
          <w:b w:val="0"/>
          <w:i w:val="0"/>
          <w:color w:val="17212B"/>
          <w:sz w:val="20"/>
        </w:rPr>
        <w:t>Assigning a new formal element name to a previously undescribed structure without expert review; novel candidates within the defined family are deliberately reported as type-like.</w:t>
      </w:r>
    </w:p>
    <w:p>
      <w:pPr>
        <w:pStyle w:val="ListBullet"/>
        <w:spacing w:after="80" w:line="264" w:lineRule="auto"/>
      </w:pPr>
      <w:r>
        <w:rPr>
          <w:rFonts w:ascii="Aptos" w:hAnsi="Aptos"/>
          <w:b w:val="0"/>
          <w:i w:val="0"/>
          <w:color w:val="17212B"/>
          <w:sz w:val="20"/>
        </w:rPr>
        <w:t>Target-site duplication evidence when the input sequence ends exactly at the element boundary or lacks sufficient flank.</w:t>
      </w:r>
    </w:p>
    <w:p>
      <w:pPr>
        <w:pStyle w:val="ListBullet"/>
        <w:spacing w:after="80" w:line="264" w:lineRule="auto"/>
      </w:pPr>
      <w:r>
        <w:rPr>
          <w:rFonts w:ascii="Aptos" w:hAnsi="Aptos"/>
          <w:b w:val="0"/>
          <w:i w:val="0"/>
          <w:color w:val="17212B"/>
          <w:sz w:val="20"/>
        </w:rPr>
        <w:t>Consistent optional-detector availability on every installation; the built-in validated scan is the portable core.</w:t>
      </w:r>
    </w:p>
    <w:p>
      <w:pPr>
        <w:keepNext w:val="0"/>
        <w:spacing w:before="160" w:after="80" w:line="264" w:lineRule="auto"/>
      </w:pPr>
      <w:r>
        <w:rPr>
          <w:rFonts w:ascii="Aptos" w:hAnsi="Aptos"/>
          <w:b/>
          <w:i w:val="0"/>
          <w:color w:val="17365D"/>
          <w:sz w:val="23"/>
        </w:rPr>
        <w:t>Recommended next validation</w:t>
      </w:r>
    </w:p>
    <w:p>
      <w:pPr>
        <w:keepNext w:val="0"/>
        <w:spacing w:before="0" w:after="120" w:line="264" w:lineRule="auto"/>
      </w:pPr>
      <w:r>
        <w:rPr>
          <w:rFonts w:ascii="Aptos" w:hAnsi="Aptos"/>
          <w:b w:val="0"/>
          <w:i w:val="0"/>
          <w:color w:val="17212B"/>
          <w:sz w:val="21"/>
        </w:rPr>
        <w:t>Have a domain expert review the human-readable definitions and embedded figures; freeze accepted naming decisions; then evaluate a blinded accession set containing true Tn1/Tn2/Tn3 examples, close variants, fragmented assemblies and related Tn3-family elements. Report locus-level precision/recall, boundary error and exact-versus-qualified naming accuracy.</w:t>
      </w:r>
    </w:p>
    <w:p>
      <w:pPr>
        <w:pStyle w:val="Heading2"/>
      </w:pPr>
      <w:r>
        <w:t>Expert decisions still requested</w:t>
      </w:r>
    </w:p>
    <w:p>
      <w:pPr>
        <w:pStyle w:val="ListBullet"/>
        <w:spacing w:after="80" w:line="264" w:lineRule="auto"/>
      </w:pPr>
      <w:r>
        <w:rPr>
          <w:rFonts w:ascii="Aptos" w:hAnsi="Aptos"/>
          <w:b w:val="0"/>
          <w:i w:val="0"/>
          <w:color w:val="17212B"/>
          <w:sz w:val="20"/>
        </w:rPr>
        <w:t>Confirm whether HM749967 should be displayed as Tn2c.</w:t>
      </w:r>
    </w:p>
    <w:p>
      <w:pPr>
        <w:pStyle w:val="ListBullet"/>
        <w:spacing w:after="80" w:line="264" w:lineRule="auto"/>
      </w:pPr>
      <w:r>
        <w:rPr>
          <w:rFonts w:ascii="Aptos" w:hAnsi="Aptos"/>
          <w:b w:val="0"/>
          <w:i w:val="0"/>
          <w:color w:val="17212B"/>
          <w:sz w:val="20"/>
        </w:rPr>
        <w:t>Confirm the preferred name and internal labels for the CP028717 interrupted Tn2.1 structure.</w:t>
      </w:r>
    </w:p>
    <w:p>
      <w:pPr>
        <w:pStyle w:val="ListBullet"/>
        <w:spacing w:after="80" w:line="264" w:lineRule="auto"/>
      </w:pPr>
      <w:r>
        <w:rPr>
          <w:rFonts w:ascii="Aptos" w:hAnsi="Aptos"/>
          <w:b w:val="0"/>
          <w:i w:val="0"/>
          <w:color w:val="17212B"/>
          <w:sz w:val="20"/>
        </w:rPr>
        <w:t>Confirm whether Tn1Mer is a public named subtype or an interrupted Tn1 example.</w:t>
      </w:r>
    </w:p>
    <w:p>
      <w:pPr>
        <w:pStyle w:val="ListBullet"/>
        <w:spacing w:after="80" w:line="264" w:lineRule="auto"/>
      </w:pPr>
      <w:r>
        <w:rPr>
          <w:rFonts w:ascii="Aptos" w:hAnsi="Aptos"/>
          <w:b w:val="0"/>
          <w:i w:val="0"/>
          <w:color w:val="17212B"/>
          <w:sz w:val="20"/>
        </w:rPr>
        <w:t>Confirm the preferred wording for V00613 relative to canonical HM749966.</w:t>
      </w:r>
    </w:p>
    <w:p>
      <w:pPr>
        <w:pStyle w:val="ListBullet"/>
        <w:spacing w:after="80" w:line="264" w:lineRule="auto"/>
      </w:pPr>
      <w:r>
        <w:rPr>
          <w:rFonts w:ascii="Aptos" w:hAnsi="Aptos"/>
          <w:b w:val="0"/>
          <w:i w:val="0"/>
          <w:color w:val="17212B"/>
          <w:sz w:val="20"/>
        </w:rPr>
        <w:t>Supply or approve additional type/subtype definitions and negative controls for the next expansion.</w:t>
      </w:r>
    </w:p>
    <w:sectPr w:rsidR="00FC693F" w:rsidRPr="0006063C" w:rsidSect="00034616">
      <w:headerReference w:type="default" r:id="rId106"/>
      <w:footerReference w:type="default" r:id="rId107"/>
      <w:pgSz w:w="12240" w:h="15840"/>
      <w:pgMar w:top="1152" w:right="1224" w:bottom="1080" w:left="122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ptos" w:hAnsi="Aptos"/>
      <w:color w:val="172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7365D"/>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5B65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Aptos" w:hAnsi="Aptos"/>
      <w:sz w:val="20"/>
    </w:rPr>
  </w:style>
  <w:style w:type="paragraph" w:styleId="ListBullet2">
    <w:name w:val="List Bullet 2"/>
    <w:basedOn w:val="Normal"/>
    <w:uiPriority w:val="99"/>
    <w:unhideWhenUsed/>
    <w:rsid w:val="00326F90"/>
    <w:pPr>
      <w:numPr>
        <w:numId w:val="2"/>
      </w:numPr>
      <w:spacing w:after="80" w:line="264" w:lineRule="auto"/>
      <w:contextualSpacing/>
    </w:pPr>
    <w:rPr>
      <w:rFonts w:ascii="Aptos" w:hAnsi="Apto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header" Target="header10.xml"/><Relationship Id="rId30" Type="http://schemas.openxmlformats.org/officeDocument/2006/relationships/footer" Target="footer10.xml"/><Relationship Id="rId31" Type="http://schemas.openxmlformats.org/officeDocument/2006/relationships/image" Target="media/image3.png"/><Relationship Id="rId32" Type="http://schemas.openxmlformats.org/officeDocument/2006/relationships/header" Target="header11.xml"/><Relationship Id="rId33" Type="http://schemas.openxmlformats.org/officeDocument/2006/relationships/footer" Target="footer11.xml"/><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header" Target="header12.xml"/><Relationship Id="rId37" Type="http://schemas.openxmlformats.org/officeDocument/2006/relationships/footer" Target="footer12.xml"/><Relationship Id="rId38" Type="http://schemas.openxmlformats.org/officeDocument/2006/relationships/image" Target="media/image6.pn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header" Target="header14.xml"/><Relationship Id="rId44" Type="http://schemas.openxmlformats.org/officeDocument/2006/relationships/footer" Target="footer14.xml"/><Relationship Id="rId45" Type="http://schemas.openxmlformats.org/officeDocument/2006/relationships/image" Target="media/image9.png"/><Relationship Id="rId46" Type="http://schemas.openxmlformats.org/officeDocument/2006/relationships/header" Target="header15.xml"/><Relationship Id="rId47" Type="http://schemas.openxmlformats.org/officeDocument/2006/relationships/footer" Target="footer15.xml"/><Relationship Id="rId48" Type="http://schemas.openxmlformats.org/officeDocument/2006/relationships/image" Target="media/image10.png"/><Relationship Id="rId49" Type="http://schemas.openxmlformats.org/officeDocument/2006/relationships/image" Target="media/image11.png"/><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image" Target="media/image13.png"/><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image" Target="media/image15.png"/><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image" Target="media/image17.png"/><Relationship Id="rId66" Type="http://schemas.openxmlformats.org/officeDocument/2006/relationships/header" Target="header21.xml"/><Relationship Id="rId67" Type="http://schemas.openxmlformats.org/officeDocument/2006/relationships/footer" Target="footer21.xml"/><Relationship Id="rId68" Type="http://schemas.openxmlformats.org/officeDocument/2006/relationships/image" Target="media/image18.png"/><Relationship Id="rId69" Type="http://schemas.openxmlformats.org/officeDocument/2006/relationships/image" Target="media/image19.png"/><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image" Target="media/image20.png"/><Relationship Id="rId73" Type="http://schemas.openxmlformats.org/officeDocument/2006/relationships/header" Target="header23.xml"/><Relationship Id="rId74" Type="http://schemas.openxmlformats.org/officeDocument/2006/relationships/footer" Target="footer23.xml"/><Relationship Id="rId75" Type="http://schemas.openxmlformats.org/officeDocument/2006/relationships/image" Target="media/image21.png"/><Relationship Id="rId76" Type="http://schemas.openxmlformats.org/officeDocument/2006/relationships/image" Target="media/image22.png"/><Relationship Id="rId77" Type="http://schemas.openxmlformats.org/officeDocument/2006/relationships/header" Target="header24.xml"/><Relationship Id="rId78" Type="http://schemas.openxmlformats.org/officeDocument/2006/relationships/footer" Target="footer24.xml"/><Relationship Id="rId79" Type="http://schemas.openxmlformats.org/officeDocument/2006/relationships/image" Target="media/image23.png"/><Relationship Id="rId80" Type="http://schemas.openxmlformats.org/officeDocument/2006/relationships/header" Target="header25.xml"/><Relationship Id="rId81" Type="http://schemas.openxmlformats.org/officeDocument/2006/relationships/footer" Target="footer25.xml"/><Relationship Id="rId82" Type="http://schemas.openxmlformats.org/officeDocument/2006/relationships/image" Target="media/image24.png"/><Relationship Id="rId83" Type="http://schemas.openxmlformats.org/officeDocument/2006/relationships/header" Target="header26.xml"/><Relationship Id="rId84" Type="http://schemas.openxmlformats.org/officeDocument/2006/relationships/footer" Target="footer26.xml"/><Relationship Id="rId85" Type="http://schemas.openxmlformats.org/officeDocument/2006/relationships/image" Target="media/image25.png"/><Relationship Id="rId86" Type="http://schemas.openxmlformats.org/officeDocument/2006/relationships/image" Target="media/image26.png"/><Relationship Id="rId87" Type="http://schemas.openxmlformats.org/officeDocument/2006/relationships/header" Target="header27.xml"/><Relationship Id="rId88" Type="http://schemas.openxmlformats.org/officeDocument/2006/relationships/footer" Target="footer27.xml"/><Relationship Id="rId89" Type="http://schemas.openxmlformats.org/officeDocument/2006/relationships/image" Target="media/image27.png"/><Relationship Id="rId90" Type="http://schemas.openxmlformats.org/officeDocument/2006/relationships/image" Target="media/image28.png"/><Relationship Id="rId91" Type="http://schemas.openxmlformats.org/officeDocument/2006/relationships/header" Target="header28.xml"/><Relationship Id="rId92" Type="http://schemas.openxmlformats.org/officeDocument/2006/relationships/footer" Target="footer28.xml"/><Relationship Id="rId93" Type="http://schemas.openxmlformats.org/officeDocument/2006/relationships/image" Target="media/image29.png"/><Relationship Id="rId94" Type="http://schemas.openxmlformats.org/officeDocument/2006/relationships/header" Target="header29.xml"/><Relationship Id="rId95" Type="http://schemas.openxmlformats.org/officeDocument/2006/relationships/footer" Target="footer29.xml"/><Relationship Id="rId96" Type="http://schemas.openxmlformats.org/officeDocument/2006/relationships/image" Target="media/image30.png"/><Relationship Id="rId97" Type="http://schemas.openxmlformats.org/officeDocument/2006/relationships/image" Target="media/image31.png"/><Relationship Id="rId98" Type="http://schemas.openxmlformats.org/officeDocument/2006/relationships/header" Target="header30.xml"/><Relationship Id="rId99" Type="http://schemas.openxmlformats.org/officeDocument/2006/relationships/footer" Target="footer30.xml"/><Relationship Id="rId100" Type="http://schemas.openxmlformats.org/officeDocument/2006/relationships/image" Target="media/image32.png"/><Relationship Id="rId101" Type="http://schemas.openxmlformats.org/officeDocument/2006/relationships/image" Target="media/image33.png"/><Relationship Id="rId102" Type="http://schemas.openxmlformats.org/officeDocument/2006/relationships/header" Target="header31.xml"/><Relationship Id="rId103" Type="http://schemas.openxmlformats.org/officeDocument/2006/relationships/footer" Target="footer31.xml"/><Relationship Id="rId104" Type="http://schemas.openxmlformats.org/officeDocument/2006/relationships/image" Target="media/image34.png"/><Relationship Id="rId105" Type="http://schemas.openxmlformats.org/officeDocument/2006/relationships/image" Target="media/image35.png"/><Relationship Id="rId106" Type="http://schemas.openxmlformats.org/officeDocument/2006/relationships/header" Target="header32.xml"/><Relationship Id="rId107"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detection and visualisation of Tn1, Tn2 and Tn3</dc:title>
  <dc:subject>Expert-rule architecture and accession-level evidence report</dc:subject>
  <dc:creator>Matryoshka project</dc:creator>
  <cp:keywords>Tn1, Tn2, Tn3, locus maps, mobile genetic elements, validation</cp:keywords>
  <dc:description>generated by python-docx</dc:description>
  <cp:lastModifiedBy/>
  <cp:revision>1</cp:revision>
  <dcterms:created xsi:type="dcterms:W3CDTF">2013-12-23T23:15:00Z</dcterms:created>
  <dcterms:modified xsi:type="dcterms:W3CDTF">2013-12-23T23:15:00Z</dcterms:modified>
  <cp:category/>
</cp:coreProperties>
</file>