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80"/>
      </w:pPr>
      <w:r>
        <w:rPr>
          <w:rFonts w:ascii="Aptos Display" w:cs="Aptos Display" w:eastAsia="Aptos Display" w:hAnsi="Aptos Display"/>
          <w:b/>
          <w:bCs/>
          <w:color w:val="15334A"/>
          <w:sz w:val="42"/>
          <w:szCs w:val="42"/>
        </w:rPr>
        <w:t xml:space="preserve">SCHOOL LIFE,</w:t>
      </w:r>
    </w:p>
    <w:p>
      <w:pPr>
        <w:spacing w:after="90"/>
      </w:pPr>
      <w:r>
        <w:rPr>
          <w:rFonts w:ascii="Aptos Display" w:cs="Aptos Display" w:eastAsia="Aptos Display" w:hAnsi="Aptos Display"/>
          <w:b/>
          <w:bCs/>
          <w:color w:val="167C80"/>
          <w:sz w:val="42"/>
          <w:szCs w:val="42"/>
        </w:rPr>
        <w:t xml:space="preserve">CONNECTED.</w:t>
      </w:r>
      <w:r>
        <w:rPr>
          <w:rFonts w:ascii="Aptos" w:cs="Aptos" w:eastAsia="Aptos" w:hAnsi="Aptos"/>
          <w:color w:val="60717D"/>
          <w:sz w:val="23"/>
          <w:szCs w:val="23"/>
        </w:rPr>
        <w:t xml:space="preserve">  A practical digital hub for your school.</w:t>
      </w:r>
    </w:p>
    <w:p>
      <w:pPr>
        <w:spacing w:after="100" w:before="0" w:line="260"/>
      </w:pPr>
      <w:r>
        <w:rPr>
          <w:rFonts w:ascii="Aptos" w:cs="Aptos" w:eastAsia="Aptos" w:hAnsi="Aptos"/>
          <w:color w:val="243746"/>
          <w:sz w:val="21"/>
          <w:szCs w:val="21"/>
        </w:rPr>
        <w:t xml:space="preserve">The Happy Man Academy School Management System brings everyday academic and school information together, helping school leaders, teachers, students and families stay informed and in step.</w:t>
      </w:r>
    </w:p>
    <w:p>
      <w:pPr>
        <w:pStyle w:val="Heading2"/>
        <w:spacing w:after="65" w:before="130"/>
      </w:pPr>
      <w:r>
        <w:rPr>
          <w:rFonts w:ascii="Aptos Display" w:cs="Aptos Display" w:eastAsia="Aptos Display" w:hAnsi="Aptos Display"/>
          <w:b/>
          <w:bCs/>
          <w:color w:val="167C80"/>
          <w:sz w:val="25"/>
          <w:szCs w:val="25"/>
        </w:rPr>
        <w:t xml:space="preserve">One system. The right view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c>
          <w:tcPr>
            <w:tcW w:type="dxa" w:w="2050"/>
            <w:shd w:fill="15334A" w:val="clear"/>
            <w:tcMar>
              <w:top w:type="dxa" w:w="90"/>
              <w:left w:type="dxa" w:w="120"/>
              <w:bottom w:type="dxa" w:w="90"/>
              <w:right w:type="dxa" w:w="120"/>
            </w:tcMar>
          </w:tcPr>
          <w:p>
            <w:pPr>
              <w:spacing w:after="0" w:line="230"/>
            </w:pPr>
            <w:r>
              <w:rPr>
                <w:rFonts w:ascii="Aptos" w:cs="Aptos" w:eastAsia="Aptos" w:hAnsi="Aptos"/>
                <w:b/>
                <w:bCs/>
                <w:color w:val="FFFFFF"/>
                <w:sz w:val="18"/>
                <w:szCs w:val="18"/>
              </w:rPr>
              <w:t xml:space="preserve">WHO</w:t>
            </w:r>
          </w:p>
        </w:tc>
        <w:tc>
          <w:tcPr>
            <w:tcW w:type="dxa" w:w="7310"/>
            <w:shd w:fill="15334A" w:val="clear"/>
            <w:tcMar>
              <w:top w:type="dxa" w:w="90"/>
              <w:left w:type="dxa" w:w="120"/>
              <w:bottom w:type="dxa" w:w="90"/>
              <w:right w:type="dxa" w:w="120"/>
            </w:tcMar>
          </w:tcPr>
          <w:p>
            <w:pPr>
              <w:spacing w:after="0" w:line="230"/>
            </w:pPr>
            <w:r>
              <w:rPr>
                <w:rFonts w:ascii="Aptos" w:cs="Aptos" w:eastAsia="Aptos" w:hAnsi="Aptos"/>
                <w:b/>
                <w:bCs/>
                <w:color w:val="FFFFFF"/>
                <w:sz w:val="18"/>
                <w:szCs w:val="18"/>
              </w:rPr>
              <w:t xml:space="preserve">WHAT THEY CAN DO</w:t>
            </w:r>
          </w:p>
        </w:tc>
      </w:tr>
      <w:tr>
        <w:tc>
          <w:tcPr>
            <w:tcW w:type="dxa" w:w="2050"/>
            <w:shd w:fill="EAF2F4" w:val="clear"/>
            <w:tcMar>
              <w:top w:type="dxa" w:w="90"/>
              <w:left w:type="dxa" w:w="120"/>
              <w:bottom w:type="dxa" w:w="90"/>
              <w:right w:type="dxa" w:w="120"/>
            </w:tcMar>
          </w:tcPr>
          <w:p>
            <w:pPr>
              <w:spacing w:after="0" w:line="230"/>
            </w:pPr>
            <w:r>
              <w:rPr>
                <w:rFonts w:ascii="Aptos" w:cs="Aptos" w:eastAsia="Aptos" w:hAnsi="Aptos"/>
                <w:b/>
                <w:bCs/>
                <w:color w:val="243746"/>
                <w:sz w:val="18"/>
                <w:szCs w:val="18"/>
              </w:rPr>
              <w:t xml:space="preserve">School leaders</w:t>
            </w:r>
          </w:p>
        </w:tc>
        <w:tc>
          <w:tcPr>
            <w:tcW w:type="dxa" w:w="7310"/>
            <w:shd w:fill="EAF2F4"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Manage people, classes, subjects, timetable, events, settings and school-wide reports.</w:t>
            </w:r>
          </w:p>
        </w:tc>
      </w:tr>
      <w:tr>
        <w:tc>
          <w:tcPr>
            <w:tcW w:type="dxa" w:w="2050"/>
            <w:shd w:fill="F4F8FA" w:val="clear"/>
            <w:tcMar>
              <w:top w:type="dxa" w:w="90"/>
              <w:left w:type="dxa" w:w="120"/>
              <w:bottom w:type="dxa" w:w="90"/>
              <w:right w:type="dxa" w:w="120"/>
            </w:tcMar>
          </w:tcPr>
          <w:p>
            <w:pPr>
              <w:spacing w:after="0" w:line="230"/>
            </w:pPr>
            <w:r>
              <w:rPr>
                <w:rFonts w:ascii="Aptos" w:cs="Aptos" w:eastAsia="Aptos" w:hAnsi="Aptos"/>
                <w:b/>
                <w:bCs/>
                <w:color w:val="243746"/>
                <w:sz w:val="18"/>
                <w:szCs w:val="18"/>
              </w:rPr>
              <w:t xml:space="preserve">Teachers</w:t>
            </w:r>
          </w:p>
        </w:tc>
        <w:tc>
          <w:tcPr>
            <w:tcW w:type="dxa" w:w="7310"/>
            <w:shd w:fill="F4F8FA"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Record scores, take daily attendance (class teachers), share lessons and quizzes, guide students and review progress.</w:t>
            </w:r>
          </w:p>
        </w:tc>
      </w:tr>
      <w:tr>
        <w:tc>
          <w:tcPr>
            <w:tcW w:type="dxa" w:w="2050"/>
            <w:shd w:fill="EAF2F4" w:val="clear"/>
            <w:tcMar>
              <w:top w:type="dxa" w:w="90"/>
              <w:left w:type="dxa" w:w="120"/>
              <w:bottom w:type="dxa" w:w="90"/>
              <w:right w:type="dxa" w:w="120"/>
            </w:tcMar>
          </w:tcPr>
          <w:p>
            <w:pPr>
              <w:spacing w:after="0" w:line="230"/>
            </w:pPr>
            <w:r>
              <w:rPr>
                <w:rFonts w:ascii="Aptos" w:cs="Aptos" w:eastAsia="Aptos" w:hAnsi="Aptos"/>
                <w:b/>
                <w:bCs/>
                <w:color w:val="243746"/>
                <w:sz w:val="18"/>
                <w:szCs w:val="18"/>
              </w:rPr>
              <w:t xml:space="preserve">Students</w:t>
            </w:r>
          </w:p>
        </w:tc>
        <w:tc>
          <w:tcPr>
            <w:tcW w:type="dxa" w:w="7310"/>
            <w:shd w:fill="EAF2F4"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View results, attendance, assignments, timetable and learning content; follow progress and choose a senior-school pathway when eligible.</w:t>
            </w:r>
          </w:p>
        </w:tc>
      </w:tr>
      <w:tr>
        <w:tc>
          <w:tcPr>
            <w:tcW w:type="dxa" w:w="2050"/>
            <w:shd w:fill="F4F8FA" w:val="clear"/>
            <w:tcMar>
              <w:top w:type="dxa" w:w="90"/>
              <w:left w:type="dxa" w:w="120"/>
              <w:bottom w:type="dxa" w:w="90"/>
              <w:right w:type="dxa" w:w="120"/>
            </w:tcMar>
          </w:tcPr>
          <w:p>
            <w:pPr>
              <w:spacing w:after="0" w:line="230"/>
            </w:pPr>
            <w:r>
              <w:rPr>
                <w:rFonts w:ascii="Aptos" w:cs="Aptos" w:eastAsia="Aptos" w:hAnsi="Aptos"/>
                <w:b/>
                <w:bCs/>
                <w:color w:val="243746"/>
                <w:sz w:val="18"/>
                <w:szCs w:val="18"/>
              </w:rPr>
              <w:t xml:space="preserve">Parents / guardians</w:t>
            </w:r>
          </w:p>
        </w:tc>
        <w:tc>
          <w:tcPr>
            <w:tcW w:type="dxa" w:w="7310"/>
            <w:shd w:fill="F4F8FA"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Keep up with children’s results, attendance, assignments, timetable, mentor contact and school events.</w:t>
            </w:r>
          </w:p>
        </w:tc>
      </w:tr>
    </w:tbl>
    <w:p>
      <w:pPr>
        <w:pStyle w:val="Heading2"/>
        <w:spacing w:after="65" w:before="130"/>
      </w:pPr>
      <w:r>
        <w:rPr>
          <w:rFonts w:ascii="Aptos Display" w:cs="Aptos Display" w:eastAsia="Aptos Display" w:hAnsi="Aptos Display"/>
          <w:b/>
          <w:bCs/>
          <w:color w:val="167C80"/>
          <w:sz w:val="25"/>
          <w:szCs w:val="25"/>
        </w:rPr>
        <w:t xml:space="preserve">Built around the school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6F5" w:val="clear"/>
            <w:tcMar>
              <w:top w:type="dxa" w:w="90"/>
              <w:left w:type="dxa" w:w="120"/>
              <w:bottom w:type="dxa" w:w="90"/>
              <w:right w:type="dxa" w:w="120"/>
            </w:tcMar>
          </w:tcPr>
          <w:p>
            <w:pPr>
              <w:spacing w:after="0" w:line="230"/>
            </w:pPr>
            <w:r>
              <w:rPr>
                <w:rFonts w:ascii="Aptos" w:cs="Aptos" w:eastAsia="Aptos" w:hAnsi="Aptos"/>
                <w:b/>
                <w:bCs/>
                <w:color w:val="167C80"/>
                <w:sz w:val="18"/>
                <w:szCs w:val="18"/>
              </w:rPr>
              <w:t xml:space="preserve">ACADEMIC RECORDS</w:t>
            </w:r>
          </w:p>
        </w:tc>
        <w:tc>
          <w:tcPr>
            <w:tcW w:type="dxa" w:w="4680"/>
            <w:shd w:fill="EFF6F5" w:val="clear"/>
            <w:tcMar>
              <w:top w:type="dxa" w:w="90"/>
              <w:left w:type="dxa" w:w="120"/>
              <w:bottom w:type="dxa" w:w="90"/>
              <w:right w:type="dxa" w:w="120"/>
            </w:tcMar>
          </w:tcPr>
          <w:p>
            <w:pPr>
              <w:spacing w:after="0" w:line="230"/>
            </w:pPr>
            <w:r>
              <w:rPr>
                <w:rFonts w:ascii="Aptos" w:cs="Aptos" w:eastAsia="Aptos" w:hAnsi="Aptos"/>
                <w:b/>
                <w:bCs/>
                <w:color w:val="167C80"/>
                <w:sz w:val="18"/>
                <w:szCs w:val="18"/>
              </w:rPr>
              <w:t xml:space="preserve">ATTENDANCE &amp; INSIGHT</w:t>
            </w:r>
          </w:p>
        </w:tc>
      </w:tr>
      <w:tr>
        <w:tc>
          <w:tcPr>
            <w:tcW w:type="dxa" w:w="4680"/>
            <w:shd w:fill="F7FAFA"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CA and exam marks, class reports, term summaries and promotion tracking in one place.</w:t>
            </w:r>
          </w:p>
        </w:tc>
        <w:tc>
          <w:tcPr>
            <w:tcW w:type="dxa" w:w="4680"/>
            <w:shd w:fill="F7FAFA"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Daily class registers roll into weekly totals, with attendance views for staff, students, parents and administrators.</w:t>
            </w:r>
          </w:p>
        </w:tc>
      </w:tr>
      <w:tr>
        <w:tc>
          <w:tcPr>
            <w:tcW w:type="dxa" w:w="4680"/>
            <w:shd w:fill="EFF6F5" w:val="clear"/>
            <w:tcMar>
              <w:top w:type="dxa" w:w="90"/>
              <w:left w:type="dxa" w:w="120"/>
              <w:bottom w:type="dxa" w:w="90"/>
              <w:right w:type="dxa" w:w="120"/>
            </w:tcMar>
          </w:tcPr>
          <w:p>
            <w:pPr>
              <w:spacing w:after="0" w:line="230"/>
            </w:pPr>
            <w:r>
              <w:rPr>
                <w:rFonts w:ascii="Aptos" w:cs="Aptos" w:eastAsia="Aptos" w:hAnsi="Aptos"/>
                <w:b/>
                <w:bCs/>
                <w:color w:val="167C80"/>
                <w:sz w:val="18"/>
                <w:szCs w:val="18"/>
              </w:rPr>
              <w:t xml:space="preserve">TEACHING &amp; LEARNING</w:t>
            </w:r>
          </w:p>
        </w:tc>
        <w:tc>
          <w:tcPr>
            <w:tcW w:type="dxa" w:w="4680"/>
            <w:shd w:fill="EFF6F5" w:val="clear"/>
            <w:tcMar>
              <w:top w:type="dxa" w:w="90"/>
              <w:left w:type="dxa" w:w="120"/>
              <w:bottom w:type="dxa" w:w="90"/>
              <w:right w:type="dxa" w:w="120"/>
            </w:tcMar>
          </w:tcPr>
          <w:p>
            <w:pPr>
              <w:spacing w:after="0" w:line="230"/>
            </w:pPr>
            <w:r>
              <w:rPr>
                <w:rFonts w:ascii="Aptos" w:cs="Aptos" w:eastAsia="Aptos" w:hAnsi="Aptos"/>
                <w:b/>
                <w:bCs/>
                <w:color w:val="167C80"/>
                <w:sz w:val="18"/>
                <w:szCs w:val="18"/>
              </w:rPr>
              <w:t xml:space="preserve">COMMUNICATION &amp; GROWTH</w:t>
            </w:r>
          </w:p>
        </w:tc>
      </w:tr>
      <w:tr>
        <w:tc>
          <w:tcPr>
            <w:tcW w:type="dxa" w:w="4680"/>
            <w:shd w:fill="F7FAFA"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Teachers can publish lessons, quizzes and class discussions; students can learn and check quiz feedback.</w:t>
            </w:r>
          </w:p>
        </w:tc>
        <w:tc>
          <w:tcPr>
            <w:tcW w:type="dxa" w:w="4680"/>
            <w:shd w:fill="F7FAFA" w:val="clear"/>
            <w:tcMar>
              <w:top w:type="dxa" w:w="90"/>
              <w:left w:type="dxa" w:w="120"/>
              <w:bottom w:type="dxa" w:w="90"/>
              <w:right w:type="dxa" w:w="120"/>
            </w:tcMar>
          </w:tcPr>
          <w:p>
            <w:pPr>
              <w:spacing w:after="0" w:line="230"/>
            </w:pPr>
            <w:r>
              <w:rPr>
                <w:rFonts w:ascii="Aptos" w:cs="Aptos" w:eastAsia="Aptos" w:hAnsi="Aptos"/>
                <w:b w:val="false"/>
                <w:bCs w:val="false"/>
                <w:color w:val="243746"/>
                <w:sz w:val="18"/>
                <w:szCs w:val="18"/>
              </w:rPr>
              <w:t xml:space="preserve">Mentor links, assignments, events and student achievement records help the school follow progress over time.</w:t>
            </w:r>
          </w:p>
        </w:tc>
      </w:tr>
    </w:tbl>
    <w:p>
      <w:pPr>
        <w:pStyle w:val="Heading2"/>
        <w:spacing w:after="65" w:before="130"/>
      </w:pPr>
      <w:r>
        <w:rPr>
          <w:rFonts w:ascii="Aptos Display" w:cs="Aptos Display" w:eastAsia="Aptos Display" w:hAnsi="Aptos Display"/>
          <w:b/>
          <w:bCs/>
          <w:color w:val="167C80"/>
          <w:sz w:val="25"/>
          <w:szCs w:val="25"/>
        </w:rPr>
        <w:t xml:space="preserve">Designed for Nigerian secondary education.</w:t>
      </w:r>
    </w:p>
    <w:p>
      <w:pPr>
        <w:spacing w:after="90" w:before="0" w:line="260"/>
      </w:pPr>
      <w:r>
        <w:rPr>
          <w:rFonts w:ascii="Aptos" w:cs="Aptos" w:eastAsia="Aptos" w:hAnsi="Aptos"/>
          <w:color w:val="243746"/>
          <w:sz w:val="20"/>
          <w:szCs w:val="20"/>
        </w:rPr>
        <w:t xml:space="preserve">Supports Grade 7–9 junior secondary and Grade 10–12 senior secondary, including Science, Commercial and Arts pathways. Academic records keep continuous assessment (CA) and examination marks distinct, with reports that show recorded results clearly.</w:t>
      </w:r>
    </w:p>
    <w:p>
      <w:pPr>
        <w:shd w:fill="15334A" w:val="clear"/>
        <w:spacing w:after="0" w:before="100"/>
        <w:ind w:left="130" w:right="130"/>
      </w:pPr>
      <w:r>
        <w:rPr>
          <w:rFonts w:ascii="Aptos" w:cs="Aptos" w:eastAsia="Aptos" w:hAnsi="Aptos"/>
          <w:b/>
          <w:bCs/>
          <w:color w:val="E8B74A"/>
          <w:sz w:val="18"/>
          <w:szCs w:val="18"/>
        </w:rPr>
        <w:t xml:space="preserve">GETTING STARTED</w:t>
      </w:r>
      <w:r>
        <w:rPr>
          <w:rFonts w:ascii="Aptos" w:cs="Aptos" w:eastAsia="Aptos" w:hAnsi="Aptos"/>
          <w:color w:val="FFFFFF"/>
          <w:sz w:val="19"/>
          <w:szCs w:val="19"/>
        </w:rPr>
        <w:t xml:space="preserve">
Ask your school administrator for your account and sign-in details. Your dashboard shows the tools and information available for your role.</w:t>
      </w:r>
    </w:p>
    <w:p>
      <w:pPr>
        <w:spacing w:after="0" w:before="100" w:line="260"/>
      </w:pPr>
      <w:r>
        <w:rPr>
          <w:rFonts w:ascii="Aptos" w:cs="Aptos" w:eastAsia="Aptos" w:hAnsi="Aptos"/>
          <w:color w:val="60717D"/>
          <w:sz w:val="17"/>
          <w:szCs w:val="17"/>
        </w:rPr>
        <w:t xml:space="preserve">For a guided walkthrough or system access, contact the school office / system administrator.</w:t>
      </w:r>
    </w:p>
    <w:sectPr>
      <w:headerReference w:type="default" r:id="rId7"/>
      <w:footerReference w:type="default" r:id="rId8"/>
      <w:pgSz w:w="11906" w:h="16838" w:orient="portrait"/>
      <w:pgMar w:top="680" w:right="1273" w:bottom="68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0717D"/>
        <w:sz w:val="15"/>
        <w:szCs w:val="15"/>
      </w:rPr>
      <w:t xml:space="preserve">A clearer view of school life — for staff, students and families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167C80"/>
        <w:sz w:val="16"/>
        <w:szCs w:val="16"/>
      </w:rPr>
      <w:t xml:space="preserve">HAPPY MAN ACADEMY  •  SCHOOL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746"/>
        <w:sz w:val="20"/>
        <w:szCs w:val="20"/>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2026-10-16T18:10:13.763Z</dcterms:created>
  <dcterms:modified xsi:type="dcterms:W3CDTF">2026-10-16T18:10:13.778Z</dcterms:modified>
</cp:coreProperties>
</file>

<file path=docProps/custom.xml><?xml version="1.0" encoding="utf-8"?>
<Properties xmlns="http://schemas.openxmlformats.org/officeDocument/2006/custom-properties" xmlns:vt="http://schemas.openxmlformats.org/officeDocument/2006/docPropsVTypes"/>
</file>