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446"/>
        <w:jc w:val="both"/>
        <w:rPr>
          <w:rFonts w:ascii="宋体" w:hAnsi="宋体" w:eastAsia="宋体" w:cs="楷体-简"/>
          <w:sz w:val="72"/>
          <w:szCs w:val="72"/>
        </w:rPr>
      </w:pPr>
      <w:bookmarkStart w:id="0" w:name="_Toc26630545"/>
      <w:bookmarkStart w:id="1" w:name="_Toc2027986300"/>
      <w:bookmarkStart w:id="2" w:name="_Toc942412012"/>
      <w:bookmarkStart w:id="3" w:name="_Toc874973415"/>
      <w:bookmarkStart w:id="4" w:name="_Toc21886212"/>
      <w:bookmarkStart w:id="5" w:name="_Toc1163458532"/>
      <w:r>
        <w:rPr>
          <w:rFonts w:hint="eastAsia" w:ascii="宋体" w:hAnsi="宋体" w:eastAsia="宋体" w:cs="楷体-简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  <w:bookmarkEnd w:id="5"/>
    </w:p>
    <w:p>
      <w:pPr>
        <w:widowControl/>
        <w:spacing w:line="240" w:lineRule="atLeast"/>
        <w:ind w:firstLine="420"/>
        <w:jc w:val="center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2422" w:firstLineChars="550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需求</w:t>
      </w: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变更影响分析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0.1.0.20200103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ind w:firstLine="420"/>
      </w:pPr>
    </w:p>
    <w:p>
      <w:r>
        <w:rPr>
          <w:rFonts w:hint="eastAsia" w:ascii="Times New Roman" w:hAnsi="Times New Roman" w:eastAsia="宋体" w:cs="Times New Roman"/>
          <w:b/>
          <w:kern w:val="2"/>
          <w:sz w:val="30"/>
          <w:szCs w:val="30"/>
          <w:u w:val="single"/>
          <w:lang w:val="en-US" w:eastAsia="zh-CN"/>
        </w:rPr>
        <w:br w:type="page"/>
      </w:r>
    </w:p>
    <w:tbl>
      <w:tblPr>
        <w:tblStyle w:val="7"/>
        <w:tblpPr w:leftFromText="180" w:rightFromText="180" w:vertAnchor="text" w:horzAnchor="page" w:tblpX="1815" w:tblpY="3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c>
          <w:tcPr>
            <w:tcW w:w="2547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  ]草稿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　]正式发布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[√]正在修改</w:t>
            </w:r>
          </w:p>
        </w:tc>
        <w:tc>
          <w:tcPr>
            <w:tcW w:w="1276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  <w:noWrap w:val="0"/>
            <w:vAlign w:val="top"/>
          </w:tcPr>
          <w:p>
            <w:pPr>
              <w:ind w:firstLine="0" w:firstLineChars="0"/>
            </w:pPr>
            <w:r>
              <w:t>PRD-2019-G10-</w:t>
            </w:r>
            <w:r>
              <w:t>需求变更影响分析</w:t>
            </w:r>
          </w:p>
        </w:tc>
      </w:tr>
      <w:tr>
        <w:tc>
          <w:tcPr>
            <w:tcW w:w="2547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  <w:noWrap w:val="0"/>
            <w:vAlign w:val="top"/>
          </w:tcPr>
          <w:p>
            <w:pPr>
              <w:ind w:firstLine="0" w:firstLineChars="0"/>
            </w:pPr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>
        <w:tc>
          <w:tcPr>
            <w:tcW w:w="2547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>
        <w:tc>
          <w:tcPr>
            <w:tcW w:w="2547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03</w:t>
            </w:r>
          </w:p>
        </w:tc>
      </w:tr>
    </w:tbl>
    <w:p>
      <w:pPr>
        <w:widowControl/>
        <w:spacing w:before="120" w:line="360" w:lineRule="atLeast"/>
        <w:jc w:val="left"/>
        <w:rPr>
          <w:rFonts w:ascii="Times New Roman" w:hAnsi="Times New Roman" w:eastAsia="微软雅黑" w:cs="Times New Roman"/>
          <w:b/>
          <w:bCs/>
          <w:color w:val="000000"/>
          <w:kern w:val="0"/>
          <w:sz w:val="36"/>
          <w:szCs w:val="36"/>
        </w:rPr>
      </w:pPr>
    </w:p>
    <w:p>
      <w:pPr>
        <w:pStyle w:val="2"/>
        <w:ind w:firstLine="883"/>
        <w:jc w:val="center"/>
      </w:pPr>
      <w:bookmarkStart w:id="6" w:name="_Toc1652782563"/>
      <w:bookmarkStart w:id="7" w:name="_Toc21886214"/>
      <w:bookmarkStart w:id="8" w:name="_Toc26630546"/>
      <w:bookmarkStart w:id="9" w:name="_Toc1426789059"/>
      <w:bookmarkStart w:id="10" w:name="_Toc531948174"/>
      <w:bookmarkStart w:id="11" w:name="_Toc2002357510"/>
      <w:bookmarkStart w:id="12" w:name="_Toc1857654896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4"/>
        <w:tabs>
          <w:tab w:val="right" w:leader="dot" w:pos="8296"/>
        </w:tabs>
        <w:ind w:firstLine="0" w:firstLineChars="0"/>
        <w:jc w:val="both"/>
      </w:pP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c>
          <w:tcPr>
            <w:tcW w:w="817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审核人</w:t>
            </w:r>
          </w:p>
        </w:tc>
      </w:tr>
      <w:tr>
        <w:tc>
          <w:tcPr>
            <w:tcW w:w="817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ind w:firstLine="0" w:firstLineChars="0"/>
            </w:pPr>
            <w:r>
              <w:t>郭岳</w:t>
            </w:r>
          </w:p>
        </w:tc>
        <w:tc>
          <w:tcPr>
            <w:tcW w:w="1222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default"/>
              </w:rPr>
              <w:t>全体组员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020-01-01——</w:t>
            </w:r>
          </w:p>
          <w:p>
            <w:pPr>
              <w:ind w:firstLine="0" w:firstLineChars="0"/>
            </w:pPr>
            <w:r>
              <w:t>2020-01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ind w:firstLine="0" w:firstLineChars="0"/>
            </w:pPr>
            <w:r>
              <w:t>首次撰写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019-01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全体组员</w:t>
            </w:r>
          </w:p>
        </w:tc>
      </w:tr>
    </w:tbl>
    <w:p>
      <w:pPr>
        <w:ind w:firstLine="420"/>
      </w:pPr>
    </w:p>
    <w:p>
      <w:pPr>
        <w:ind w:firstLine="420"/>
      </w:pPr>
    </w:p>
    <w:p/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7837"/>
        <w15:color w:val="DBDBDB"/>
      </w:sdtPr>
      <w:sdtEnd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  <w:bookmarkStart w:id="16" w:name="_GoBack"/>
          <w:bookmarkEnd w:id="16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目录</w:t>
          </w: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_Toc1488576986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1变更描述</w:t>
          </w:r>
          <w:r>
            <w:tab/>
          </w:r>
          <w:r>
            <w:fldChar w:fldCharType="begin"/>
          </w:r>
          <w:r>
            <w:instrText xml:space="preserve"> PAGEREF _Toc1488576986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_Toc328916152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2工作量估计</w:t>
          </w:r>
          <w:r>
            <w:tab/>
          </w:r>
          <w:r>
            <w:fldChar w:fldCharType="begin"/>
          </w:r>
          <w:r>
            <w:instrText xml:space="preserve"> PAGEREF _Toc328916152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_Toc470859286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3影响</w:t>
          </w:r>
          <w:r>
            <w:rPr>
              <w:rFonts w:hint="default"/>
              <w:szCs w:val="32"/>
              <w:lang w:eastAsia="zh-CN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_Toc470859286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13" w:name="_Toc1488576986"/>
      <w:r>
        <w:rPr>
          <w:rFonts w:hint="eastAsia"/>
          <w:sz w:val="32"/>
          <w:szCs w:val="32"/>
          <w:lang w:val="en-US" w:eastAsia="zh-CN"/>
        </w:rPr>
        <w:t>1变更描述</w:t>
      </w:r>
      <w:bookmarkEnd w:id="13"/>
    </w:p>
    <w:p>
      <w:pPr>
        <w:rPr>
          <w:rFonts w:hint="eastAsia" w:ascii="宋体" w:hAnsi="宋体" w:eastAsia="宋体"/>
        </w:rPr>
      </w:pPr>
      <w:r>
        <w:rPr>
          <w:rFonts w:hint="eastAsia"/>
          <w:sz w:val="21"/>
          <w:szCs w:val="21"/>
          <w:lang w:val="en-US" w:eastAsia="zh-CN"/>
        </w:rPr>
        <w:t>变更主题：</w:t>
      </w:r>
      <w:r>
        <w:rPr>
          <w:rFonts w:hint="eastAsia" w:ascii="宋体" w:hAnsi="宋体" w:eastAsia="宋体"/>
        </w:rPr>
        <w:t>指导者用户增加实例分享功能</w:t>
      </w:r>
    </w:p>
    <w:p>
      <w:pPr>
        <w:spacing w:line="360" w:lineRule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变更描述：指导者用户在某个案例下创建项目后：</w:t>
      </w:r>
    </w:p>
    <w:p>
      <w:pPr>
        <w:numPr>
          <w:ilvl w:val="0"/>
          <w:numId w:val="1"/>
        </w:numPr>
        <w:spacing w:line="360" w:lineRule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可将项目以链接形式到</w:t>
      </w:r>
      <w:r>
        <w:rPr>
          <w:rFonts w:hint="default" w:ascii="宋体" w:hAnsi="宋体"/>
          <w:lang w:eastAsia="zh-CN"/>
        </w:rPr>
        <w:t>其他社交软件</w:t>
      </w:r>
      <w:r>
        <w:rPr>
          <w:rFonts w:hint="eastAsia" w:ascii="宋体" w:hAnsi="宋体"/>
          <w:lang w:val="en-US" w:eastAsia="zh-CN"/>
        </w:rPr>
        <w:t>中，分为以下几种情况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学生用户未下载该app，跳转到下载app页面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学生用户已下载该app但是未注册，跳转到app内的登录界面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学生用户已下载该app并已经注册，跳转到app内的项目详情界面</w:t>
      </w:r>
    </w:p>
    <w:p>
      <w:pPr>
        <w:pStyle w:val="2"/>
        <w:bidi w:val="0"/>
        <w:rPr>
          <w:rFonts w:hint="eastAsia" w:eastAsia="宋体"/>
          <w:lang w:eastAsia="zh-CN"/>
        </w:rPr>
      </w:pPr>
      <w:bookmarkStart w:id="14" w:name="_Toc328916152"/>
      <w:r>
        <w:rPr>
          <w:rFonts w:hint="eastAsia"/>
          <w:sz w:val="32"/>
          <w:szCs w:val="32"/>
          <w:lang w:val="en-US" w:eastAsia="zh-CN"/>
        </w:rPr>
        <w:t>2工作量估计</w:t>
      </w:r>
      <w:bookmarkEnd w:id="14"/>
    </w:p>
    <w:p>
      <w:r>
        <w:rPr>
          <w:rFonts w:hint="eastAsia"/>
        </w:rPr>
        <w:t>准备时间：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工时</w:t>
      </w:r>
    </w:p>
    <w:p>
      <w:pPr>
        <w:rPr>
          <w:rFonts w:hint="eastAsia"/>
        </w:rPr>
      </w:pPr>
      <w:r>
        <w:rPr>
          <w:rFonts w:hint="eastAsia"/>
        </w:rPr>
        <w:t>预估总时间：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工时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工作时间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用例文档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工时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工时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工时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工时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SRS修改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工时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其他文档修改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工时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工时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工时</w:t>
            </w:r>
          </w:p>
        </w:tc>
      </w:tr>
    </w:tbl>
    <w:p>
      <w:pPr>
        <w:pStyle w:val="2"/>
        <w:bidi w:val="0"/>
        <w:rPr>
          <w:rFonts w:hint="default" w:ascii="STSongStd-Light" w:hAnsi="STSongStd-Light" w:eastAsia="STSongStd-Light"/>
          <w:sz w:val="24"/>
        </w:rPr>
      </w:pPr>
      <w:bookmarkStart w:id="15" w:name="_Toc470859286"/>
      <w:r>
        <w:rPr>
          <w:rFonts w:hint="eastAsia"/>
          <w:sz w:val="32"/>
          <w:szCs w:val="32"/>
          <w:lang w:val="en-US" w:eastAsia="zh-CN"/>
        </w:rPr>
        <w:t>3影响</w:t>
      </w:r>
      <w:r>
        <w:rPr>
          <w:rFonts w:hint="default"/>
          <w:sz w:val="32"/>
          <w:szCs w:val="32"/>
          <w:lang w:eastAsia="zh-CN"/>
        </w:rPr>
        <w:t>范围</w:t>
      </w:r>
      <w:bookmarkEnd w:id="15"/>
    </w:p>
    <w:p>
      <w:pPr>
        <w:pStyle w:val="3"/>
        <w:bidi w:val="0"/>
        <w:rPr>
          <w:rFonts w:hint="default" w:ascii="STSongStd-Light" w:hAnsi="STSongStd-Light" w:eastAsia="STSongStd-Light"/>
          <w:sz w:val="24"/>
        </w:rPr>
      </w:pPr>
      <w:r>
        <w:rPr>
          <w:rFonts w:hint="default" w:ascii="STSongStd-Light" w:hAnsi="STSongStd-Light" w:eastAsia="STSongStd-Light"/>
          <w:b/>
          <w:sz w:val="24"/>
        </w:rPr>
        <w:t>3.1 条目影响详细分析（分析3层）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8"/>
        <w:gridCol w:w="1498"/>
        <w:gridCol w:w="1498"/>
        <w:gridCol w:w="1498"/>
        <w:gridCol w:w="1498"/>
      </w:tblGrid>
      <w:tr>
        <w:trPr>
          <w:tblHeader/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序号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被影响的文档及版本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造成影响文档及版本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被影响条目数量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被影响的条目比例</w:t>
            </w:r>
          </w:p>
        </w:tc>
      </w:tr>
      <w:tr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5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13.16%</w:t>
            </w:r>
          </w:p>
        </w:tc>
      </w:tr>
      <w:tr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1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2.63%</w:t>
            </w:r>
          </w:p>
        </w:tc>
      </w:tr>
      <w:tr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12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12.63%</w:t>
            </w:r>
          </w:p>
        </w:tc>
      </w:tr>
      <w:tr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11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13.41%</w:t>
            </w:r>
          </w:p>
        </w:tc>
      </w:tr>
      <w:tr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管理员测试用例(当前版本)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1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2.22%</w:t>
            </w:r>
          </w:p>
        </w:tc>
      </w:tr>
      <w:tr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2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50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24.15%</w:t>
            </w:r>
          </w:p>
        </w:tc>
      </w:tr>
      <w:tr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1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8.33%</w:t>
            </w:r>
          </w:p>
        </w:tc>
      </w:tr>
      <w:tr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1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8.33%</w:t>
            </w:r>
          </w:p>
        </w:tc>
      </w:tr>
      <w:tr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3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3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14.29%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3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14.29%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12 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57.14%</w:t>
            </w:r>
          </w:p>
        </w:tc>
      </w:tr>
    </w:tbl>
    <w:p>
      <w:pPr>
        <w:pStyle w:val="3"/>
        <w:bidi w:val="0"/>
        <w:rPr>
          <w:rFonts w:hint="default" w:ascii="STSongStd-Light" w:hAnsi="STSongStd-Light" w:eastAsia="STSongStd-Light"/>
          <w:sz w:val="24"/>
        </w:rPr>
      </w:pPr>
      <w:r>
        <w:rPr>
          <w:rFonts w:hint="default" w:ascii="STSongStd-Light" w:hAnsi="STSongStd-Light" w:eastAsia="STSongStd-Light"/>
          <w:b/>
          <w:sz w:val="24"/>
        </w:rPr>
        <w:t>3.2 影响全过程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1070"/>
        <w:gridCol w:w="1070"/>
        <w:gridCol w:w="1117"/>
        <w:gridCol w:w="1070"/>
        <w:gridCol w:w="1163"/>
        <w:gridCol w:w="1070"/>
      </w:tblGrid>
      <w:tr>
        <w:trPr>
          <w:tblHeader/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序号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源条目标识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源条目内容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级联影响（全过程）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被影响的文档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被影响的条目标识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被影响的条目标题</w:t>
            </w:r>
          </w:p>
        </w:tc>
      </w:tr>
      <w:tr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指导者主页一览参与项目-查看具体实例-进入小组群聊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案例主界面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IP-148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项目群组 –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指导者群组及时通讯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IP-149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项目群组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IP-146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项目群组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T-I-86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主页一览参与项目-查看具体实例-进入小组群聊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案例主界面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IP-147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项目群组 –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 注册 –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 注册 –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 注册 –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登录注册选择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 注册 –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 注册 –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 注册 –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 注册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 注册 –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IP-176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 注册 –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 注册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 注册 –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 注册 –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 注册 –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 注册 –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IP-175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邮箱-1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A-UC-3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管理员查询用户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 注册 –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案例主界面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案例预置人员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T-I-84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主页一览参与项目-查看具体实例-查看已加入成员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案例主界面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案例预置人员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IP-49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登录 –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登录注册选择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IP-48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登录 –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IP-50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IP-46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登录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69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IP-47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登录 –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IP-107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搜索案例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指导者案例、实例、用户搜索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IP-113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搜索后案例 –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搜索后实例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IP-104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输入搜索 –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IP-110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搜索后案例 –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搜索后案例 –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IP-41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查找到郭岳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79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IP-44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查找到杨老师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IP-42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查找到郭岳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搜索后案例 –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IP-103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输入搜索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IP-106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输入搜索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查看案例、实例、用户搜索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IP-43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查找到杨老师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IP-105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输入搜索 –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89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搜索后用户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搜索后案例 –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IP-109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搜索后案例 –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IP-108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搜索后案例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T-I-45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搜索查看实例-查看已加入成员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案例预置人员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99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案例预置人员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人员搜索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案例主界面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案例主界面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项目总览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109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T-I-46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搜索查看实例-查看实例动态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案例主界面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119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IP-33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案例主界面 –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T-I-85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主页一览参与项目-查看具体实例-查看实例动态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T-I-44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搜索查看实例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129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  A-UC-3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A-UC-10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管理员解冻用户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  A-UC-3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A-UC-5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管理员查看用户信息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  A-UC-3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A-UC-7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  A-UC-3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A-UC-6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管理员删除用户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  A-UC-3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  A-UC-3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管理员测试用例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A-T-2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管理员查找用户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  A-UC-3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A-UC-9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管理员冻结用户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  A-UC-3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管理员需求用例(当前版本)  A-UC-3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139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指导者主页一览参与项目-查看具体实例-进入小组群聊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149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指导者主页一览参与项目-查看具体实例-进入小组群聊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159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指导者主页一览参与项目-查看具体实例-进入小组群聊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169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指导者主页一览参与项目-查看具体实例-进入小组群聊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179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指导者主页一览参与项目-查看具体实例-进入小组群聊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189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指导者主页一览参与项目-查看具体实例-进入小组群聊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199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指导者主页一览参与项目-查看具体实例-进入小组群聊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I-UC-51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指导者搜索查看实例-查看已加入成员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I-UC-26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指导者主页一览参与项目-查看具体实例-查看实例动态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I-UC-60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指导者搜索查看实例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209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IP-148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IP-149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IP-146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IP-147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219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IP-176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229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IP-175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IP-49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239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IP-48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IP-50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IP-46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IP-47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IP-107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IP-113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IP-115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IP-104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IP-110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249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IP-41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IP-44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IP-42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IP-103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IP-106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IP-43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IP-105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IP-114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259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IP-109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IP-108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指导者原型(当前版本)  IP-33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269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279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289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299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309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319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I-UC-7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329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339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I-UC-25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349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359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369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379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389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I-UC-51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399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409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419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I-UC-61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429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439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449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I-UC-24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459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469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I-UC-62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479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489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499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I-UC-26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509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srs-15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学习者用例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管理员用例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业务规则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功能需求与系统模块的关系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srs-6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后续范围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518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srs-19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数据字典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519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词汇表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520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软件概要设计说明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sodd-7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521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其他非功能需求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522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usermanuel-7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用户通用功能模块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523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srs-12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顶层用例图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524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srs-20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ER图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525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用户手册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usermanuel-8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案例拥有者功能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526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srs-14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优先级矩阵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527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I-UC-83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指导者实例分享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I-UC-83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指导者需求用例(当前版本)  I-UC-60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------&gt;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软件需求规格说明文档(当前版本)  srs-16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软件需求规格说明文档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(当前版本)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 xml:space="preserve">srs-11 </w:t>
            </w:r>
          </w:p>
        </w:tc>
        <w:tc>
          <w:tcPr>
            <w:tcW w:w="1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/>
                <w:sz w:val="21"/>
                <w:szCs w:val="21"/>
              </w:rPr>
              <w:t>范围图</w:t>
            </w:r>
          </w:p>
        </w:tc>
      </w:tr>
    </w:tbl>
    <w:p>
      <w:pPr>
        <w:spacing w:beforeLines="0" w:afterLines="0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crosoft JhengHei UI Light">
    <w:altName w:val="苹方-简"/>
    <w:panose1 w:val="020B0304030504040204"/>
    <w:charset w:val="00"/>
    <w:family w:val="swiss"/>
    <w:pitch w:val="default"/>
    <w:sig w:usb0="00000000" w:usb1="00000000" w:usb2="00000016" w:usb3="00000000" w:csb0="00100009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TSongStd-Light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B4129C"/>
    <w:multiLevelType w:val="multilevel"/>
    <w:tmpl w:val="D1B412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E2E95"/>
    <w:rsid w:val="1DAB2D0B"/>
    <w:rsid w:val="304A4DB0"/>
    <w:rsid w:val="3C7D69FC"/>
    <w:rsid w:val="43FEE4EC"/>
    <w:rsid w:val="50CA27D5"/>
    <w:rsid w:val="77FD77F8"/>
    <w:rsid w:val="A27974BB"/>
    <w:rsid w:val="DFEFE0F0"/>
    <w:rsid w:val="FF4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itle"/>
    <w:basedOn w:val="1"/>
    <w:next w:val="1"/>
    <w:qFormat/>
    <w:uiPriority w:val="0"/>
    <w:pPr>
      <w:widowControl/>
      <w:spacing w:before="240" w:after="60" w:line="240" w:lineRule="auto"/>
      <w:jc w:val="center"/>
      <w:outlineLvl w:val="0"/>
    </w:pPr>
    <w:rPr>
      <w:rFonts w:ascii="Cambria" w:hAnsi="Cambria" w:eastAsia="宋体" w:cs="宋体-简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数字"/>
    <w:basedOn w:val="2"/>
    <w:next w:val="1"/>
    <w:qFormat/>
    <w:uiPriority w:val="0"/>
    <w:rPr>
      <w:rFonts w:eastAsia="Times New Roman" w:asciiTheme="minorAscii" w:hAnsiTheme="minorAscii"/>
      <w:sz w:val="44"/>
      <w:szCs w:val="22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asus</dc:creator>
  <cp:lastModifiedBy>guoqs</cp:lastModifiedBy>
  <dcterms:modified xsi:type="dcterms:W3CDTF">2020-01-09T13:33:20Z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