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firstLine="400"/>
        <w:jc w:val="both"/>
        <w:rPr>
          <w:rFonts w:ascii="宋体" w:hAnsi="宋体" w:eastAsia="宋体" w:cs="楷体-简"/>
          <w:sz w:val="72"/>
          <w:szCs w:val="72"/>
        </w:rPr>
      </w:pPr>
      <w:bookmarkStart w:id="0" w:name="_Toc1163458532"/>
      <w:bookmarkStart w:id="1" w:name="_Toc21886212"/>
      <w:r>
        <w:rPr>
          <w:rFonts w:hint="eastAsia" w:ascii="宋体" w:hAnsi="宋体" w:eastAsia="宋体" w:cs="楷体-简"/>
          <w:sz w:val="72"/>
          <w:szCs w:val="72"/>
        </w:rPr>
        <w:t>案例教学系统APP</w:t>
      </w:r>
      <w:bookmarkEnd w:id="0"/>
      <w:bookmarkEnd w:id="1"/>
    </w:p>
    <w:p>
      <w:pPr>
        <w:widowControl/>
        <w:spacing w:line="240" w:lineRule="atLeast"/>
        <w:ind w:firstLine="420"/>
        <w:jc w:val="center"/>
        <w:rPr>
          <w:rFonts w:ascii="微软雅黑" w:hAnsi="微软雅黑" w:eastAsia="微软雅黑" w:cs="宋体"/>
          <w:color w:val="000000"/>
          <w:kern w:val="0"/>
          <w:sz w:val="27"/>
          <w:szCs w:val="27"/>
        </w:rPr>
      </w:pPr>
      <w:r>
        <w:rPr>
          <w:rFonts w:hint="eastAsia" w:ascii="华文宋体" w:hAnsi="华文宋体" w:cs="华文宋体"/>
        </w:rPr>
        <w:drawing>
          <wp:inline distT="0" distB="0" distL="0" distR="0">
            <wp:extent cx="2125980" cy="2164080"/>
            <wp:effectExtent l="0" t="0" r="7620" b="762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25980" cy="2164080"/>
                    </a:xfrm>
                    <a:prstGeom prst="rect">
                      <a:avLst/>
                    </a:prstGeom>
                    <a:noFill/>
                    <a:ln>
                      <a:noFill/>
                    </a:ln>
                  </pic:spPr>
                </pic:pic>
              </a:graphicData>
            </a:graphic>
          </wp:inline>
        </w:drawing>
      </w:r>
    </w:p>
    <w:p>
      <w:pPr>
        <w:widowControl/>
        <w:spacing w:line="240" w:lineRule="atLeast"/>
        <w:ind w:firstLine="883"/>
        <w:jc w:val="center"/>
        <w:rPr>
          <w:rFonts w:ascii="黑体" w:hAnsi="黑体" w:eastAsia="黑体" w:cs="宋体"/>
          <w:b/>
          <w:color w:val="000000"/>
          <w:kern w:val="0"/>
          <w:sz w:val="44"/>
          <w:szCs w:val="44"/>
        </w:rPr>
      </w:pPr>
      <w:r>
        <w:rPr>
          <w:rFonts w:hint="eastAsia" w:ascii="黑体" w:hAnsi="黑体" w:eastAsia="黑体" w:cs="宋体"/>
          <w:b/>
          <w:color w:val="000000"/>
          <w:kern w:val="0"/>
          <w:sz w:val="44"/>
          <w:szCs w:val="44"/>
        </w:rPr>
        <w:t>愿景和范围文档</w:t>
      </w:r>
    </w:p>
    <w:p>
      <w:pPr>
        <w:widowControl/>
        <w:spacing w:line="240" w:lineRule="atLeast"/>
        <w:ind w:firstLine="880"/>
        <w:jc w:val="center"/>
        <w:rPr>
          <w:rFonts w:ascii="黑体" w:hAnsi="黑体" w:eastAsia="黑体" w:cs="宋体"/>
          <w:color w:val="000000"/>
          <w:kern w:val="0"/>
          <w:sz w:val="44"/>
          <w:szCs w:val="44"/>
        </w:rPr>
      </w:pPr>
    </w:p>
    <w:p>
      <w:pPr>
        <w:widowControl/>
        <w:spacing w:line="240" w:lineRule="atLeast"/>
        <w:ind w:firstLine="2240" w:firstLineChars="800"/>
        <w:rPr>
          <w:rFonts w:ascii="黑体" w:hAnsi="黑体" w:eastAsia="黑体" w:cs="宋体"/>
          <w:color w:val="000000"/>
          <w:kern w:val="0"/>
          <w:sz w:val="28"/>
          <w:szCs w:val="28"/>
        </w:rPr>
      </w:pPr>
      <w:r>
        <w:rPr>
          <w:rFonts w:hint="eastAsia" w:ascii="宋体" w:hAnsi="宋体" w:cs="宋体"/>
          <w:color w:val="000000"/>
          <w:kern w:val="0"/>
          <w:sz w:val="28"/>
          <w:szCs w:val="28"/>
        </w:rPr>
        <w:t>版本号：</w:t>
      </w:r>
      <w:r>
        <w:rPr>
          <w:rFonts w:hint="eastAsia" w:ascii="黑体" w:hAnsi="黑体" w:eastAsia="黑体" w:cs="宋体"/>
          <w:color w:val="000000"/>
          <w:kern w:val="0"/>
          <w:sz w:val="28"/>
          <w:szCs w:val="28"/>
        </w:rPr>
        <w:t>[</w:t>
      </w:r>
      <w:r>
        <w:rPr>
          <w:rFonts w:ascii="Times New Roman" w:hAnsi="Times New Roman" w:eastAsia="黑体" w:cs="Times New Roman"/>
          <w:color w:val="000000"/>
          <w:kern w:val="0"/>
          <w:sz w:val="28"/>
          <w:szCs w:val="28"/>
        </w:rPr>
        <w:t>0.1.0.20191027</w:t>
      </w:r>
      <w:r>
        <w:rPr>
          <w:rFonts w:hint="eastAsia" w:ascii="黑体" w:hAnsi="黑体" w:eastAsia="黑体" w:cs="宋体"/>
          <w:color w:val="000000"/>
          <w:kern w:val="0"/>
          <w:sz w:val="28"/>
          <w:szCs w:val="28"/>
        </w:rPr>
        <w:t>]</w:t>
      </w:r>
    </w:p>
    <w:p>
      <w:pPr>
        <w:widowControl/>
        <w:spacing w:line="240" w:lineRule="atLeast"/>
        <w:ind w:firstLine="2240" w:firstLineChars="8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 xml:space="preserve">郭 </w:t>
      </w:r>
      <w:r>
        <w:rPr>
          <w:rFonts w:ascii="宋体" w:hAnsi="宋体" w:cs="宋体"/>
          <w:color w:val="000000"/>
          <w:kern w:val="0"/>
          <w:sz w:val="28"/>
          <w:szCs w:val="28"/>
          <w:u w:val="single"/>
        </w:rPr>
        <w:t xml:space="preserve"> </w:t>
      </w:r>
      <w:r>
        <w:rPr>
          <w:rFonts w:hint="eastAsia" w:ascii="宋体" w:hAnsi="宋体" w:cs="宋体"/>
          <w:color w:val="000000"/>
          <w:kern w:val="0"/>
          <w:sz w:val="28"/>
          <w:szCs w:val="28"/>
          <w:u w:val="single"/>
        </w:rPr>
        <w:t>岳 31701281</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杨海波 31701327</w:t>
      </w:r>
    </w:p>
    <w:p>
      <w:pPr>
        <w:widowControl/>
        <w:spacing w:line="240" w:lineRule="atLeast"/>
        <w:ind w:firstLine="3360" w:firstLineChars="1200"/>
        <w:jc w:val="left"/>
        <w:rPr>
          <w:rFonts w:hint="eastAsia" w:ascii="宋体" w:hAnsi="宋体" w:cs="宋体"/>
          <w:color w:val="000000"/>
          <w:kern w:val="0"/>
          <w:sz w:val="28"/>
          <w:szCs w:val="28"/>
          <w:u w:val="single"/>
        </w:rPr>
      </w:pPr>
      <w:r>
        <w:rPr>
          <w:rFonts w:hint="eastAsia" w:ascii="宋体" w:hAnsi="宋体" w:cs="宋体"/>
          <w:color w:val="000000"/>
          <w:kern w:val="0"/>
          <w:sz w:val="28"/>
          <w:szCs w:val="28"/>
          <w:u w:val="single"/>
        </w:rPr>
        <w:t>杨寒凌 31701328</w:t>
      </w:r>
    </w:p>
    <w:p>
      <w:pPr>
        <w:widowControl/>
        <w:spacing w:line="240" w:lineRule="atLeast"/>
        <w:ind w:firstLine="3360" w:firstLineChars="1200"/>
        <w:jc w:val="left"/>
        <w:rPr>
          <w:rFonts w:hint="eastAsia" w:ascii="宋体" w:hAnsi="宋体" w:cs="宋体"/>
          <w:color w:val="000000"/>
          <w:kern w:val="0"/>
          <w:sz w:val="28"/>
          <w:szCs w:val="28"/>
          <w:u w:val="single"/>
        </w:rPr>
      </w:pPr>
      <w:r>
        <w:rPr>
          <w:rFonts w:hint="eastAsia" w:ascii="宋体" w:hAnsi="宋体" w:cs="宋体"/>
          <w:color w:val="000000"/>
          <w:kern w:val="0"/>
          <w:sz w:val="28"/>
          <w:szCs w:val="28"/>
          <w:u w:val="single"/>
        </w:rPr>
        <w:t>周  南 31701332</w:t>
      </w:r>
    </w:p>
    <w:p>
      <w:pPr>
        <w:widowControl/>
        <w:spacing w:line="240" w:lineRule="atLeast"/>
        <w:ind w:firstLine="3360" w:firstLineChars="1200"/>
        <w:jc w:val="left"/>
        <w:rPr>
          <w:rFonts w:hint="eastAsia" w:ascii="宋体" w:hAnsi="宋体" w:cs="宋体"/>
          <w:color w:val="000000"/>
          <w:kern w:val="0"/>
          <w:sz w:val="28"/>
          <w:szCs w:val="28"/>
          <w:u w:val="single"/>
        </w:rPr>
      </w:pPr>
      <w:r>
        <w:rPr>
          <w:rFonts w:hint="eastAsia" w:ascii="宋体" w:hAnsi="宋体" w:cs="宋体"/>
          <w:color w:val="000000"/>
          <w:kern w:val="0"/>
          <w:sz w:val="28"/>
          <w:szCs w:val="28"/>
          <w:u w:val="single"/>
        </w:rPr>
        <w:t>李  骏 31701352</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叶瑶毓 31701230</w:t>
      </w:r>
    </w:p>
    <w:p>
      <w:pPr>
        <w:widowControl/>
        <w:spacing w:line="240" w:lineRule="atLeast"/>
        <w:ind w:firstLine="560"/>
        <w:jc w:val="center"/>
        <w:rPr>
          <w:rFonts w:ascii="宋体" w:hAnsi="宋体" w:cs="宋体"/>
          <w:color w:val="000000"/>
          <w:kern w:val="0"/>
          <w:sz w:val="28"/>
          <w:szCs w:val="28"/>
        </w:rPr>
      </w:pPr>
    </w:p>
    <w:p>
      <w:pPr>
        <w:widowControl/>
        <w:spacing w:line="240" w:lineRule="atLeast"/>
        <w:ind w:left="1680" w:firstLine="56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 xml:space="preserve">郭 </w:t>
      </w:r>
      <w:r>
        <w:rPr>
          <w:rFonts w:ascii="宋体" w:hAnsi="宋体" w:cs="宋体"/>
          <w:color w:val="000000"/>
          <w:kern w:val="0"/>
          <w:sz w:val="28"/>
          <w:szCs w:val="28"/>
          <w:u w:val="single"/>
        </w:rPr>
        <w:t xml:space="preserve"> </w:t>
      </w:r>
      <w:r>
        <w:rPr>
          <w:rFonts w:hint="eastAsia" w:ascii="宋体" w:hAnsi="宋体" w:cs="宋体"/>
          <w:color w:val="000000"/>
          <w:kern w:val="0"/>
          <w:sz w:val="28"/>
          <w:szCs w:val="28"/>
          <w:u w:val="single"/>
        </w:rPr>
        <w:t>岳 31701281</w:t>
      </w:r>
    </w:p>
    <w:p>
      <w:pPr>
        <w:widowControl/>
        <w:spacing w:line="240" w:lineRule="atLeast"/>
        <w:ind w:firstLine="2240" w:firstLineChars="800"/>
        <w:rPr>
          <w:rFonts w:ascii="宋体" w:hAnsi="宋体" w:cs="宋体"/>
          <w:color w:val="000000"/>
          <w:kern w:val="0"/>
          <w:sz w:val="28"/>
          <w:szCs w:val="28"/>
          <w:u w:val="single"/>
        </w:rPr>
      </w:pPr>
      <w:r>
        <w:rPr>
          <w:rFonts w:hint="eastAsia" w:ascii="宋体" w:hAnsi="宋体" w:cs="宋体"/>
          <w:color w:val="000000"/>
          <w:kern w:val="0"/>
          <w:sz w:val="28"/>
          <w:szCs w:val="28"/>
        </w:rPr>
        <w:t>批准人：</w:t>
      </w:r>
      <w:r>
        <w:rPr>
          <w:rFonts w:hint="eastAsia" w:ascii="宋体" w:hAnsi="宋体" w:cs="宋体"/>
          <w:color w:val="000000"/>
          <w:kern w:val="0"/>
          <w:sz w:val="28"/>
          <w:szCs w:val="28"/>
          <w:u w:val="single"/>
        </w:rPr>
        <w:t xml:space="preserve">  杨 枨 老 师  </w:t>
      </w:r>
    </w:p>
    <w:p>
      <w:pPr>
        <w:widowControl/>
        <w:spacing w:line="240" w:lineRule="atLeast"/>
        <w:ind w:firstLine="880"/>
        <w:jc w:val="center"/>
        <w:rPr>
          <w:rFonts w:ascii="黑体" w:hAnsi="黑体" w:eastAsia="黑体" w:cs="宋体"/>
          <w:color w:val="000000"/>
          <w:kern w:val="0"/>
          <w:sz w:val="44"/>
          <w:szCs w:val="44"/>
        </w:rPr>
      </w:pPr>
    </w:p>
    <w:p>
      <w:pPr>
        <w:widowControl/>
        <w:spacing w:line="240" w:lineRule="atLeast"/>
        <w:ind w:firstLine="880"/>
        <w:rPr>
          <w:rFonts w:hint="eastAsia" w:ascii="黑体" w:hAnsi="黑体" w:eastAsia="黑体" w:cs="宋体"/>
          <w:color w:val="000000"/>
          <w:kern w:val="0"/>
          <w:sz w:val="44"/>
          <w:szCs w:val="44"/>
        </w:rPr>
      </w:pPr>
    </w:p>
    <w:tbl>
      <w:tblPr>
        <w:tblStyle w:val="11"/>
        <w:tblpPr w:leftFromText="180" w:rightFromText="180" w:vertAnchor="text" w:horzAnchor="page" w:tblpX="1815" w:tblpY="396"/>
        <w:tblOverlap w:val="never"/>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Layout w:type="fixed"/>
        </w:tblPrEx>
        <w:tc>
          <w:tcPr>
            <w:tcW w:w="2547" w:type="dxa"/>
            <w:vMerge w:val="restart"/>
            <w:shd w:val="clear" w:color="auto" w:fill="auto"/>
          </w:tcPr>
          <w:p>
            <w:pPr>
              <w:ind w:firstLine="0" w:firstLineChars="0"/>
            </w:pPr>
            <w:bookmarkStart w:id="2" w:name="_Toc356192831"/>
            <w:bookmarkEnd w:id="2"/>
            <w:bookmarkStart w:id="3" w:name="_Toc416530762"/>
            <w:r>
              <w:rPr>
                <w:rFonts w:hint="eastAsia"/>
              </w:rPr>
              <w:t>文件状态：</w:t>
            </w:r>
          </w:p>
          <w:p>
            <w:pPr>
              <w:ind w:firstLine="0" w:firstLineChars="0"/>
            </w:pPr>
            <w:r>
              <w:rPr>
                <w:rFonts w:hint="eastAsia"/>
              </w:rPr>
              <w:t>[  ]草稿</w:t>
            </w:r>
          </w:p>
          <w:p>
            <w:pPr>
              <w:ind w:firstLine="0" w:firstLineChars="0"/>
            </w:pPr>
            <w:r>
              <w:rPr>
                <w:rFonts w:hint="eastAsia"/>
              </w:rPr>
              <w:t>[　]正式发布</w:t>
            </w:r>
          </w:p>
          <w:p>
            <w:pPr>
              <w:ind w:firstLine="0" w:firstLineChars="0"/>
            </w:pPr>
            <w:r>
              <w:rPr>
                <w:rFonts w:hint="eastAsia"/>
              </w:rPr>
              <w:t>[√]正在修改</w:t>
            </w:r>
          </w:p>
        </w:tc>
        <w:tc>
          <w:tcPr>
            <w:tcW w:w="1276" w:type="dxa"/>
            <w:shd w:val="clear" w:color="auto" w:fill="FFFFFF" w:themeFill="background1"/>
          </w:tcPr>
          <w:p>
            <w:pPr>
              <w:ind w:firstLine="0" w:firstLineChars="0"/>
            </w:pPr>
            <w:r>
              <w:rPr>
                <w:rFonts w:hint="eastAsia"/>
              </w:rPr>
              <w:t>文件标识：</w:t>
            </w:r>
          </w:p>
        </w:tc>
        <w:tc>
          <w:tcPr>
            <w:tcW w:w="4873" w:type="dxa"/>
          </w:tcPr>
          <w:p>
            <w:pPr>
              <w:ind w:firstLine="0" w:firstLineChars="0"/>
            </w:pPr>
            <w:r>
              <w:t>PRD-2019-G10-</w:t>
            </w:r>
            <w:r>
              <w:rPr>
                <w:rFonts w:hint="eastAsia"/>
              </w:rPr>
              <w:t>愿景和范围计划</w:t>
            </w:r>
          </w:p>
        </w:tc>
      </w:tr>
      <w:tr>
        <w:tblPrEx>
          <w:tblLayout w:type="fixed"/>
        </w:tblPrEx>
        <w:tc>
          <w:tcPr>
            <w:tcW w:w="2547" w:type="dxa"/>
            <w:vMerge w:val="continue"/>
            <w:shd w:val="clear" w:color="auto" w:fill="auto"/>
          </w:tcPr>
          <w:p>
            <w:pPr>
              <w:ind w:firstLine="420"/>
            </w:pPr>
          </w:p>
        </w:tc>
        <w:tc>
          <w:tcPr>
            <w:tcW w:w="1276" w:type="dxa"/>
            <w:shd w:val="clear" w:color="auto" w:fill="FFFFFF" w:themeFill="background1"/>
          </w:tcPr>
          <w:p>
            <w:pPr>
              <w:ind w:firstLine="0" w:firstLineChars="0"/>
            </w:pPr>
            <w:r>
              <w:rPr>
                <w:rFonts w:hint="eastAsia"/>
              </w:rPr>
              <w:t>当前版本：</w:t>
            </w:r>
          </w:p>
        </w:tc>
        <w:tc>
          <w:tcPr>
            <w:tcW w:w="4873" w:type="dxa"/>
          </w:tcPr>
          <w:p>
            <w:pPr>
              <w:ind w:firstLine="0" w:firstLineChars="0"/>
            </w:pPr>
            <w:r>
              <w:t>0.</w:t>
            </w:r>
            <w:r>
              <w:rPr>
                <w:rFonts w:hint="eastAsia"/>
              </w:rPr>
              <w:t>1.0</w:t>
            </w:r>
          </w:p>
        </w:tc>
      </w:tr>
      <w:tr>
        <w:tblPrEx>
          <w:tblLayout w:type="fixed"/>
        </w:tblPrEx>
        <w:tc>
          <w:tcPr>
            <w:tcW w:w="2547" w:type="dxa"/>
            <w:vMerge w:val="continue"/>
            <w:shd w:val="clear" w:color="auto" w:fill="auto"/>
          </w:tcPr>
          <w:p>
            <w:pPr>
              <w:ind w:firstLine="420"/>
            </w:pPr>
          </w:p>
        </w:tc>
        <w:tc>
          <w:tcPr>
            <w:tcW w:w="1276" w:type="dxa"/>
            <w:shd w:val="clear" w:color="auto" w:fill="FFFFFF" w:themeFill="background1"/>
          </w:tcPr>
          <w:p>
            <w:pPr>
              <w:ind w:firstLine="0" w:firstLineChars="0"/>
            </w:pPr>
            <w:r>
              <w:rPr>
                <w:rFonts w:hint="eastAsia"/>
              </w:rPr>
              <w:t>作者：</w:t>
            </w:r>
          </w:p>
        </w:tc>
        <w:tc>
          <w:tcPr>
            <w:tcW w:w="4873" w:type="dxa"/>
          </w:tcPr>
          <w:p>
            <w:pPr>
              <w:ind w:firstLine="0" w:firstLineChars="0"/>
            </w:pPr>
            <w:r>
              <w:rPr>
                <w:rFonts w:hint="eastAsia"/>
              </w:rPr>
              <w:t>PRD-201</w:t>
            </w:r>
            <w:r>
              <w:t>9</w:t>
            </w:r>
            <w:r>
              <w:rPr>
                <w:rFonts w:hint="eastAsia"/>
              </w:rPr>
              <w:t>-G</w:t>
            </w:r>
            <w:r>
              <w:t>10</w:t>
            </w:r>
          </w:p>
        </w:tc>
      </w:tr>
      <w:tr>
        <w:tblPrEx>
          <w:tblLayout w:type="fixed"/>
        </w:tblPrEx>
        <w:tc>
          <w:tcPr>
            <w:tcW w:w="2547" w:type="dxa"/>
            <w:vMerge w:val="continue"/>
            <w:shd w:val="clear" w:color="auto" w:fill="auto"/>
          </w:tcPr>
          <w:p>
            <w:pPr>
              <w:ind w:firstLine="420"/>
            </w:pPr>
          </w:p>
        </w:tc>
        <w:tc>
          <w:tcPr>
            <w:tcW w:w="1276" w:type="dxa"/>
            <w:shd w:val="clear" w:color="auto" w:fill="FFFFFF" w:themeFill="background1"/>
          </w:tcPr>
          <w:p>
            <w:pPr>
              <w:ind w:firstLine="0" w:firstLineChars="0"/>
            </w:pPr>
            <w:r>
              <w:rPr>
                <w:rFonts w:hint="eastAsia"/>
              </w:rPr>
              <w:t>完成日期：</w:t>
            </w:r>
          </w:p>
        </w:tc>
        <w:tc>
          <w:tcPr>
            <w:tcW w:w="4873" w:type="dxa"/>
          </w:tcPr>
          <w:p>
            <w:pPr>
              <w:ind w:firstLine="0" w:firstLineChars="0"/>
            </w:pPr>
            <w:r>
              <w:rPr>
                <w:rFonts w:hint="eastAsia"/>
              </w:rPr>
              <w:t>2</w:t>
            </w:r>
            <w:r>
              <w:t>019-10-</w:t>
            </w:r>
            <w:r>
              <w:rPr>
                <w:rFonts w:hint="eastAsia"/>
              </w:rPr>
              <w:t>27</w:t>
            </w:r>
          </w:p>
        </w:tc>
      </w:tr>
    </w:tbl>
    <w:p>
      <w:pPr>
        <w:widowControl/>
        <w:spacing w:before="120" w:line="360" w:lineRule="atLeast"/>
        <w:ind w:firstLine="720"/>
        <w:jc w:val="left"/>
        <w:rPr>
          <w:rFonts w:ascii="Times New Roman" w:hAnsi="Times New Roman" w:eastAsia="微软雅黑" w:cs="Times New Roman"/>
          <w:b/>
          <w:bCs/>
          <w:color w:val="000000"/>
          <w:kern w:val="0"/>
          <w:sz w:val="36"/>
          <w:szCs w:val="36"/>
        </w:rPr>
      </w:pPr>
    </w:p>
    <w:p>
      <w:pPr>
        <w:pStyle w:val="2"/>
        <w:ind w:firstLine="883"/>
        <w:jc w:val="center"/>
      </w:pPr>
      <w:bookmarkStart w:id="4" w:name="_Toc531948174"/>
      <w:bookmarkStart w:id="5" w:name="_Toc21886214"/>
      <w:bookmarkStart w:id="6" w:name="_Toc2002357510"/>
      <w:r>
        <w:rPr>
          <w:rFonts w:hint="eastAsia"/>
        </w:rPr>
        <w:t>文档修订记录</w:t>
      </w:r>
      <w:bookmarkEnd w:id="4"/>
      <w:bookmarkEnd w:id="5"/>
      <w:bookmarkEnd w:id="6"/>
    </w:p>
    <w:p>
      <w:pPr>
        <w:pStyle w:val="7"/>
        <w:ind w:firstLine="0" w:firstLineChars="0"/>
        <w:jc w:val="both"/>
      </w:pPr>
    </w:p>
    <w:tbl>
      <w:tblPr>
        <w:tblStyle w:val="11"/>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34"/>
        <w:gridCol w:w="1134"/>
        <w:gridCol w:w="1418"/>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shd w:val="clear" w:color="auto" w:fill="FFFFFF" w:themeFill="background1"/>
          </w:tcPr>
          <w:p>
            <w:pPr>
              <w:ind w:left="0" w:leftChars="0" w:firstLine="0" w:firstLineChars="0"/>
            </w:pPr>
            <w:r>
              <w:rPr>
                <w:rFonts w:hint="eastAsia"/>
              </w:rPr>
              <w:t>版本</w:t>
            </w:r>
          </w:p>
        </w:tc>
        <w:tc>
          <w:tcPr>
            <w:tcW w:w="851" w:type="dxa"/>
            <w:shd w:val="clear" w:color="auto" w:fill="FFFFFF" w:themeFill="background1"/>
          </w:tcPr>
          <w:p>
            <w:pPr>
              <w:ind w:left="0" w:leftChars="0" w:firstLine="0" w:firstLineChars="0"/>
            </w:pPr>
            <w:r>
              <w:rPr>
                <w:rFonts w:hint="eastAsia"/>
              </w:rPr>
              <w:t>修订人</w:t>
            </w:r>
          </w:p>
        </w:tc>
        <w:tc>
          <w:tcPr>
            <w:tcW w:w="1222" w:type="dxa"/>
            <w:shd w:val="clear" w:color="auto" w:fill="FFFFFF" w:themeFill="background1"/>
          </w:tcPr>
          <w:p>
            <w:pPr>
              <w:ind w:left="0" w:leftChars="0" w:firstLine="0" w:firstLineChars="0"/>
            </w:pPr>
            <w:r>
              <w:rPr>
                <w:rFonts w:hint="eastAsia"/>
              </w:rPr>
              <w:t>参与者</w:t>
            </w:r>
          </w:p>
        </w:tc>
        <w:tc>
          <w:tcPr>
            <w:tcW w:w="1754" w:type="dxa"/>
            <w:shd w:val="clear" w:color="auto" w:fill="FFFFFF" w:themeFill="background1"/>
          </w:tcPr>
          <w:p>
            <w:pPr>
              <w:ind w:left="0" w:leftChars="0" w:firstLine="0" w:firstLineChars="0"/>
            </w:pPr>
            <w:r>
              <w:rPr>
                <w:rFonts w:hint="eastAsia"/>
              </w:rPr>
              <w:t>修订日期</w:t>
            </w:r>
          </w:p>
        </w:tc>
        <w:tc>
          <w:tcPr>
            <w:tcW w:w="1134" w:type="dxa"/>
            <w:shd w:val="clear" w:color="auto" w:fill="FFFFFF" w:themeFill="background1"/>
          </w:tcPr>
          <w:p>
            <w:pPr>
              <w:ind w:left="0" w:leftChars="0" w:firstLine="0" w:firstLineChars="0"/>
            </w:pPr>
            <w:r>
              <w:rPr>
                <w:rFonts w:hint="eastAsia"/>
              </w:rPr>
              <w:t>修订状态</w:t>
            </w:r>
          </w:p>
        </w:tc>
        <w:tc>
          <w:tcPr>
            <w:tcW w:w="1134" w:type="dxa"/>
            <w:shd w:val="clear" w:color="auto" w:fill="FFFFFF" w:themeFill="background1"/>
          </w:tcPr>
          <w:p>
            <w:pPr>
              <w:ind w:left="0" w:leftChars="0" w:firstLine="0" w:firstLineChars="0"/>
            </w:pPr>
            <w:r>
              <w:rPr>
                <w:rFonts w:hint="eastAsia"/>
              </w:rPr>
              <w:t>修订说明</w:t>
            </w:r>
          </w:p>
        </w:tc>
        <w:tc>
          <w:tcPr>
            <w:tcW w:w="1418" w:type="dxa"/>
            <w:shd w:val="clear" w:color="auto" w:fill="FFFFFF" w:themeFill="background1"/>
          </w:tcPr>
          <w:p>
            <w:pPr>
              <w:ind w:left="0" w:leftChars="0" w:firstLine="0" w:firstLineChars="0"/>
            </w:pPr>
            <w:r>
              <w:rPr>
                <w:rFonts w:hint="eastAsia"/>
              </w:rPr>
              <w:t>审批日期</w:t>
            </w:r>
          </w:p>
        </w:tc>
        <w:tc>
          <w:tcPr>
            <w:tcW w:w="850" w:type="dxa"/>
            <w:shd w:val="clear" w:color="auto" w:fill="FFFFFF" w:themeFill="background1"/>
          </w:tcPr>
          <w:p>
            <w:pPr>
              <w:ind w:left="0" w:leftChars="0" w:firstLine="0" w:firstLineChars="0"/>
            </w:pPr>
            <w:r>
              <w:rPr>
                <w:rFonts w:hint="eastAsia"/>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ind w:left="0" w:leftChars="0" w:firstLine="0" w:firstLineChars="0"/>
            </w:pPr>
            <w:r>
              <w:rPr>
                <w:rFonts w:hint="eastAsia"/>
              </w:rPr>
              <w:t>0</w:t>
            </w:r>
            <w:r>
              <w:t>.1</w:t>
            </w:r>
            <w:r>
              <w:rPr>
                <w:rFonts w:hint="eastAsia"/>
              </w:rPr>
              <w:t>.0</w:t>
            </w:r>
          </w:p>
        </w:tc>
        <w:tc>
          <w:tcPr>
            <w:tcW w:w="851" w:type="dxa"/>
          </w:tcPr>
          <w:p>
            <w:pPr>
              <w:ind w:left="0" w:leftChars="0" w:firstLine="0" w:firstLineChars="0"/>
            </w:pPr>
            <w:r>
              <w:rPr>
                <w:rFonts w:hint="eastAsia"/>
              </w:rPr>
              <w:t>郭岳</w:t>
            </w:r>
          </w:p>
        </w:tc>
        <w:tc>
          <w:tcPr>
            <w:tcW w:w="1222" w:type="dxa"/>
          </w:tcPr>
          <w:p>
            <w:pPr>
              <w:ind w:left="0" w:leftChars="0" w:firstLine="0" w:firstLineChars="0"/>
            </w:pPr>
            <w:r>
              <w:rPr>
                <w:rFonts w:hint="eastAsia"/>
              </w:rPr>
              <w:t>郭岳，周南，李骏，叶瑶毓</w:t>
            </w:r>
          </w:p>
        </w:tc>
        <w:tc>
          <w:tcPr>
            <w:tcW w:w="1754" w:type="dxa"/>
          </w:tcPr>
          <w:p>
            <w:pPr>
              <w:ind w:left="0" w:leftChars="0" w:firstLine="0" w:firstLineChars="0"/>
            </w:pPr>
            <w:r>
              <w:rPr>
                <w:rFonts w:hint="eastAsia"/>
              </w:rPr>
              <w:t>2</w:t>
            </w:r>
            <w:r>
              <w:t>019-</w:t>
            </w:r>
            <w:r>
              <w:rPr>
                <w:rFonts w:hint="eastAsia"/>
              </w:rPr>
              <w:t>10</w:t>
            </w:r>
            <w:r>
              <w:t>-25——</w:t>
            </w:r>
          </w:p>
          <w:p>
            <w:pPr>
              <w:ind w:left="0" w:leftChars="0" w:firstLine="0" w:firstLineChars="0"/>
            </w:pPr>
            <w:r>
              <w:t>2019-</w:t>
            </w:r>
            <w:r>
              <w:rPr>
                <w:rFonts w:hint="eastAsia"/>
              </w:rPr>
              <w:t>10</w:t>
            </w:r>
            <w:r>
              <w:t>-2</w:t>
            </w:r>
            <w:r>
              <w:rPr>
                <w:rFonts w:hint="eastAsia"/>
              </w:rPr>
              <w:t>7</w:t>
            </w:r>
          </w:p>
        </w:tc>
        <w:tc>
          <w:tcPr>
            <w:tcW w:w="1134" w:type="dxa"/>
          </w:tcPr>
          <w:p>
            <w:pPr>
              <w:ind w:left="0" w:leftChars="0" w:firstLine="0" w:firstLineChars="0"/>
            </w:pPr>
            <w:r>
              <w:t>首次撰写</w:t>
            </w:r>
          </w:p>
        </w:tc>
        <w:tc>
          <w:tcPr>
            <w:tcW w:w="1134" w:type="dxa"/>
          </w:tcPr>
          <w:p>
            <w:pPr>
              <w:ind w:left="0" w:leftChars="0" w:firstLine="0" w:firstLineChars="0"/>
            </w:pPr>
            <w:r>
              <w:rPr>
                <w:rFonts w:hint="eastAsia"/>
              </w:rPr>
              <w:t>初始版本</w:t>
            </w:r>
          </w:p>
        </w:tc>
        <w:tc>
          <w:tcPr>
            <w:tcW w:w="1418" w:type="dxa"/>
          </w:tcPr>
          <w:p>
            <w:pPr>
              <w:ind w:left="0" w:leftChars="0" w:firstLine="0" w:firstLineChars="0"/>
            </w:pPr>
            <w:r>
              <w:rPr>
                <w:rFonts w:hint="eastAsia"/>
              </w:rPr>
              <w:t>2</w:t>
            </w:r>
            <w:r>
              <w:t>019-</w:t>
            </w:r>
            <w:r>
              <w:rPr>
                <w:rFonts w:hint="eastAsia"/>
              </w:rPr>
              <w:t>10</w:t>
            </w:r>
            <w:r>
              <w:t>-</w:t>
            </w:r>
            <w:r>
              <w:rPr>
                <w:rFonts w:hint="eastAsia"/>
              </w:rPr>
              <w:t>27</w:t>
            </w:r>
          </w:p>
        </w:tc>
        <w:tc>
          <w:tcPr>
            <w:tcW w:w="850" w:type="dxa"/>
          </w:tcPr>
          <w:p>
            <w:pPr>
              <w:ind w:left="0" w:leftChars="0" w:firstLine="0" w:firstLineChars="0"/>
            </w:pPr>
            <w:r>
              <w:rPr>
                <w:rFonts w:hint="eastAsia"/>
              </w:rPr>
              <w:t>全体组员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ind w:left="0" w:leftChars="0" w:firstLine="0" w:firstLineChars="0"/>
              <w:rPr>
                <w:rFonts w:hint="eastAsia"/>
              </w:rPr>
            </w:pPr>
            <w:r>
              <w:rPr>
                <w:rFonts w:hint="default"/>
              </w:rPr>
              <w:t>0.2.0</w:t>
            </w:r>
          </w:p>
        </w:tc>
        <w:tc>
          <w:tcPr>
            <w:tcW w:w="851" w:type="dxa"/>
          </w:tcPr>
          <w:p>
            <w:pPr>
              <w:ind w:left="0" w:leftChars="0" w:firstLine="0" w:firstLineChars="0"/>
              <w:rPr>
                <w:rFonts w:hint="eastAsia"/>
              </w:rPr>
            </w:pPr>
            <w:r>
              <w:rPr>
                <w:rFonts w:hint="default"/>
              </w:rPr>
              <w:t>郭岳</w:t>
            </w:r>
          </w:p>
        </w:tc>
        <w:tc>
          <w:tcPr>
            <w:tcW w:w="1222" w:type="dxa"/>
          </w:tcPr>
          <w:p>
            <w:pPr>
              <w:ind w:left="0" w:leftChars="0" w:firstLine="0" w:firstLineChars="0"/>
              <w:rPr>
                <w:rFonts w:hint="eastAsia"/>
              </w:rPr>
            </w:pPr>
            <w:r>
              <w:rPr>
                <w:rFonts w:hint="eastAsia"/>
              </w:rPr>
              <w:t>郭岳，周南，李骏，叶瑶毓</w:t>
            </w:r>
          </w:p>
        </w:tc>
        <w:tc>
          <w:tcPr>
            <w:tcW w:w="1754" w:type="dxa"/>
            <w:vAlign w:val="top"/>
          </w:tcPr>
          <w:p>
            <w:pPr>
              <w:ind w:left="0" w:leftChars="0" w:firstLine="0" w:firstLineChars="0"/>
            </w:pPr>
            <w:r>
              <w:rPr>
                <w:rFonts w:hint="eastAsia"/>
              </w:rPr>
              <w:t>2</w:t>
            </w:r>
            <w:r>
              <w:t>019-</w:t>
            </w:r>
            <w:r>
              <w:rPr>
                <w:rFonts w:hint="eastAsia"/>
              </w:rPr>
              <w:t>1</w:t>
            </w:r>
            <w:r>
              <w:rPr>
                <w:rFonts w:hint="default"/>
              </w:rPr>
              <w:t>1</w:t>
            </w:r>
            <w:r>
              <w:t>-</w:t>
            </w:r>
            <w:r>
              <w:t>02</w:t>
            </w:r>
            <w:r>
              <w:t>——</w:t>
            </w:r>
          </w:p>
          <w:p>
            <w:pPr>
              <w:ind w:left="0" w:leftChars="0" w:firstLine="0" w:firstLineChars="0"/>
            </w:pPr>
            <w:r>
              <w:t>2019-</w:t>
            </w:r>
            <w:r>
              <w:rPr>
                <w:rFonts w:hint="eastAsia"/>
              </w:rPr>
              <w:t>1</w:t>
            </w:r>
            <w:r>
              <w:rPr>
                <w:rFonts w:hint="default"/>
              </w:rPr>
              <w:t>1</w:t>
            </w:r>
            <w:r>
              <w:t>-</w:t>
            </w:r>
            <w:r>
              <w:t>03</w:t>
            </w:r>
          </w:p>
        </w:tc>
        <w:tc>
          <w:tcPr>
            <w:tcW w:w="1134" w:type="dxa"/>
            <w:vAlign w:val="top"/>
          </w:tcPr>
          <w:p>
            <w:pPr>
              <w:ind w:left="0" w:leftChars="0" w:firstLine="0" w:firstLineChars="0"/>
            </w:pPr>
            <w:r>
              <w:t>第二次</w:t>
            </w:r>
            <w:r>
              <w:t>撰写</w:t>
            </w:r>
          </w:p>
        </w:tc>
        <w:tc>
          <w:tcPr>
            <w:tcW w:w="1134" w:type="dxa"/>
            <w:vAlign w:val="top"/>
          </w:tcPr>
          <w:p>
            <w:pPr>
              <w:ind w:left="0" w:leftChars="0" w:firstLine="0" w:firstLineChars="0"/>
              <w:rPr>
                <w:rFonts w:hint="eastAsia"/>
              </w:rPr>
            </w:pPr>
            <w:r>
              <w:rPr>
                <w:rFonts w:hint="default"/>
              </w:rPr>
              <w:t>细节补充</w:t>
            </w:r>
          </w:p>
        </w:tc>
        <w:tc>
          <w:tcPr>
            <w:tcW w:w="1418" w:type="dxa"/>
            <w:vAlign w:val="top"/>
          </w:tcPr>
          <w:p>
            <w:pPr>
              <w:ind w:left="0" w:leftChars="0" w:firstLine="0" w:firstLineChars="0"/>
              <w:rPr>
                <w:rFonts w:hint="eastAsia"/>
              </w:rPr>
            </w:pPr>
            <w:r>
              <w:rPr>
                <w:rFonts w:hint="eastAsia"/>
              </w:rPr>
              <w:t>2</w:t>
            </w:r>
            <w:r>
              <w:t>019-</w:t>
            </w:r>
            <w:r>
              <w:rPr>
                <w:rFonts w:hint="eastAsia"/>
              </w:rPr>
              <w:t>10</w:t>
            </w:r>
            <w:r>
              <w:t>-</w:t>
            </w:r>
            <w:r>
              <w:rPr>
                <w:rFonts w:hint="eastAsia"/>
              </w:rPr>
              <w:t>27</w:t>
            </w:r>
          </w:p>
        </w:tc>
        <w:tc>
          <w:tcPr>
            <w:tcW w:w="850" w:type="dxa"/>
            <w:vAlign w:val="top"/>
          </w:tcPr>
          <w:p>
            <w:pPr>
              <w:ind w:left="0" w:leftChars="0" w:firstLine="0" w:firstLineChars="0"/>
              <w:rPr>
                <w:rFonts w:hint="eastAsia"/>
              </w:rPr>
            </w:pPr>
            <w:r>
              <w:rPr>
                <w:rFonts w:hint="eastAsia"/>
              </w:rPr>
              <w:t>全体组员</w:t>
            </w:r>
          </w:p>
        </w:tc>
      </w:tr>
    </w:tbl>
    <w:p>
      <w:pPr>
        <w:ind w:firstLine="422"/>
        <w:jc w:val="center"/>
        <w:rPr>
          <w:rFonts w:ascii="宋体" w:hAnsi="宋体"/>
          <w:b/>
        </w:rPr>
      </w:pPr>
    </w:p>
    <w:bookmarkEnd w:id="3"/>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bookmarkStart w:id="24" w:name="_GoBack"/>
      <w:bookmarkEnd w:id="24"/>
    </w:p>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left="0" w:leftChars="0" w:firstLine="0" w:firstLineChars="0"/>
        <w:jc w:val="left"/>
        <w:rPr>
          <w:rFonts w:hint="eastAsia" w:ascii="宋体" w:hAnsi="宋体" w:cs="宋体"/>
          <w:kern w:val="0"/>
          <w:sz w:val="24"/>
          <w:szCs w:val="24"/>
        </w:rPr>
      </w:pPr>
    </w:p>
    <w:p>
      <w:pPr>
        <w:widowControl/>
        <w:ind w:left="0" w:leftChars="0" w:firstLine="0" w:firstLineChars="0"/>
        <w:jc w:val="left"/>
        <w:rPr>
          <w:rFonts w:hint="eastAsia" w:ascii="宋体" w:hAnsi="宋体" w:cs="宋体"/>
          <w:kern w:val="0"/>
          <w:sz w:val="24"/>
          <w:szCs w:val="24"/>
        </w:rPr>
      </w:pPr>
    </w:p>
    <w:p>
      <w:pPr>
        <w:pStyle w:val="2"/>
        <w:rPr>
          <w:rFonts w:ascii="微软雅黑" w:hAnsi="微软雅黑"/>
          <w:sz w:val="48"/>
        </w:rPr>
      </w:pPr>
      <w:bookmarkStart w:id="7" w:name="_Toc356192833"/>
      <w:r>
        <w:t>1.业务需求</w:t>
      </w:r>
      <w:r>
        <w:rPr>
          <w:sz w:val="14"/>
          <w:szCs w:val="14"/>
        </w:rPr>
        <w:t>     </w:t>
      </w:r>
      <w:bookmarkEnd w:id="7"/>
    </w:p>
    <w:p>
      <w:pPr>
        <w:pStyle w:val="3"/>
      </w:pPr>
      <w:r>
        <w:t>1.1</w:t>
      </w:r>
      <w:bookmarkStart w:id="8" w:name="_Toc356192834"/>
      <w:r>
        <w:t>背景     </w:t>
      </w:r>
      <w:bookmarkEnd w:id="8"/>
    </w:p>
    <w:p>
      <w:pPr>
        <w:ind w:firstLine="420"/>
        <w:rPr>
          <w:rFonts w:ascii="微软雅黑" w:hAnsi="微软雅黑"/>
          <w:sz w:val="36"/>
        </w:rPr>
      </w:pPr>
      <w:r>
        <w:rPr>
          <w:rFonts w:hint="eastAsia"/>
        </w:rPr>
        <w:t>传统的软件工程是以问题为导向，指引学生学习。这种教学方式每个与课小组往往只是参加开发过程中的一部分。所以每个学习小组只能获得和思考项目中的一部分经验。于是我们思考开发一种以项目形式组织案例的教学系统。</w:t>
      </w:r>
    </w:p>
    <w:p>
      <w:pPr>
        <w:ind w:firstLine="420"/>
      </w:pPr>
      <w:r>
        <w:rPr>
          <w:rFonts w:hint="eastAsia"/>
        </w:rPr>
        <w:t>首先，项目在每个阶段以小问题和子任务方式进行发散式的引导。完整实践和体验到一个项目所拥有的从项目伊始到项目验收的整个周期。</w:t>
      </w:r>
    </w:p>
    <w:p>
      <w:pPr>
        <w:ind w:firstLine="420"/>
      </w:pPr>
      <w:r>
        <w:rPr>
          <w:rFonts w:hint="eastAsia"/>
        </w:rPr>
        <w:t>其次，以项目形式来组织一个案例将其交给学生进行实践真正亲身体验过案例的真实开发过程后再来进行讲解和学习。</w:t>
      </w:r>
    </w:p>
    <w:p>
      <w:pPr>
        <w:ind w:firstLine="420"/>
      </w:pPr>
      <w:r>
        <w:rPr>
          <w:rFonts w:hint="eastAsia"/>
        </w:rPr>
        <w:t>最后，将真实的案例组织成项目。学生可以在学习系统中寻找由其他软件开发方法所设计的案例来进行自主的学习，提高了自主学习能力。</w:t>
      </w:r>
    </w:p>
    <w:p>
      <w:pPr>
        <w:ind w:firstLine="420"/>
      </w:pPr>
      <w:r>
        <w:rPr>
          <w:rFonts w:hint="eastAsia"/>
        </w:rPr>
        <w:t>在这种教学模式的思想下，教师进行很少量的课堂教学甚至不进行课堂教学，而将所有的知识都放在真正的项目之中，教师则是在学生的实践过程中进行指点，从而起到有针对性的指导作用。</w:t>
      </w:r>
    </w:p>
    <w:p>
      <w:pPr>
        <w:pStyle w:val="3"/>
        <w:rPr>
          <w:rFonts w:ascii="微软雅黑" w:hAnsi="微软雅黑"/>
          <w:sz w:val="36"/>
        </w:rPr>
      </w:pPr>
      <w:r>
        <w:t>1.2</w:t>
      </w:r>
      <w:bookmarkStart w:id="9" w:name="_Toc356192835"/>
      <w:r>
        <w:t>商业机遇</w:t>
      </w:r>
      <w:r>
        <w:rPr>
          <w:sz w:val="14"/>
          <w:szCs w:val="14"/>
        </w:rPr>
        <w:t>     </w:t>
      </w:r>
      <w:bookmarkEnd w:id="9"/>
    </w:p>
    <w:p>
      <w:pPr>
        <w:ind w:firstLine="420"/>
        <w:rPr>
          <w:szCs w:val="21"/>
        </w:rPr>
      </w:pPr>
      <w:r>
        <w:rPr>
          <w:rFonts w:hint="eastAsia"/>
          <w:szCs w:val="21"/>
        </w:rPr>
        <w:t>以教师为中心教学方法在很长一段时间内占据着国内外绝大多数课堂。这种以教师为中心的教学模式的突出表现在于教师是整个学习过程的中心，在课堂上，学习资源和学生以及课堂都是围绕着教师开展的。然而这种做法却也有它的弊端，教师在选取教材的同时扼杀了学生对于该门课程学习的知识面，从某种意义上来说也扼杀了学生的某种创造性，其次，对于工科性学科来说，这种通过传授知识点的教学方法也并不适用。这种实验性质强的工科性学科往往只有采用案例教学法才能起到良好的教学效果。</w:t>
      </w:r>
    </w:p>
    <w:p>
      <w:pPr>
        <w:ind w:firstLine="420"/>
        <w:rPr>
          <w:szCs w:val="21"/>
        </w:rPr>
      </w:pPr>
      <w:r>
        <w:rPr>
          <w:rFonts w:hint="eastAsia"/>
          <w:szCs w:val="21"/>
        </w:rPr>
        <w:t>因此，我们提出基于项目的案例教学系统App，通过对工程类项目化案例的还原，从而最终达到学生再次实践项目的效果。</w:t>
      </w:r>
    </w:p>
    <w:p>
      <w:pPr>
        <w:pStyle w:val="3"/>
        <w:rPr>
          <w:rFonts w:ascii="微软雅黑" w:hAnsi="微软雅黑"/>
          <w:sz w:val="36"/>
        </w:rPr>
      </w:pPr>
      <w:r>
        <w:t>1.3</w:t>
      </w:r>
      <w:bookmarkStart w:id="10" w:name="_Toc356192836"/>
      <w:r>
        <w:t>商业目标</w:t>
      </w:r>
      <w:r>
        <w:rPr>
          <w:sz w:val="14"/>
          <w:szCs w:val="14"/>
        </w:rPr>
        <w:t>     </w:t>
      </w:r>
      <w:bookmarkEnd w:id="10"/>
    </w:p>
    <w:p>
      <w:pPr>
        <w:ind w:firstLine="420"/>
      </w:pPr>
      <w:r>
        <w:rPr>
          <w:rFonts w:hint="eastAsia"/>
        </w:rPr>
        <w:t>我们制作这个App的目的是为了解决工程类实践性学科在教学过程中实践不足的问题而产生的。通过这个App</w:t>
      </w:r>
    </w:p>
    <w:p>
      <w:pPr>
        <w:pStyle w:val="15"/>
        <w:numPr>
          <w:ilvl w:val="0"/>
          <w:numId w:val="1"/>
        </w:numPr>
        <w:ind w:firstLineChars="0"/>
      </w:pPr>
      <w:r>
        <w:rPr>
          <w:rFonts w:hint="eastAsia"/>
        </w:rPr>
        <w:t>教师可以在系统案例中进行教学讲解</w:t>
      </w:r>
    </w:p>
    <w:p>
      <w:pPr>
        <w:pStyle w:val="15"/>
        <w:numPr>
          <w:ilvl w:val="0"/>
          <w:numId w:val="1"/>
        </w:numPr>
        <w:ind w:firstLineChars="0"/>
      </w:pPr>
      <w:r>
        <w:rPr>
          <w:rFonts w:hint="eastAsia"/>
        </w:rPr>
        <w:t>教师可以给正在案例中进行实践的同学以指导性的意见，</w:t>
      </w:r>
    </w:p>
    <w:p>
      <w:pPr>
        <w:pStyle w:val="15"/>
        <w:numPr>
          <w:ilvl w:val="0"/>
          <w:numId w:val="1"/>
        </w:numPr>
        <w:ind w:firstLineChars="0"/>
      </w:pPr>
      <w:r>
        <w:rPr>
          <w:rFonts w:hint="eastAsia"/>
        </w:rPr>
        <w:t>学生能够在项目中选择一个角色进行扮演，如PM，需求分析员等等，贴近真实情况</w:t>
      </w:r>
    </w:p>
    <w:p>
      <w:pPr>
        <w:pStyle w:val="15"/>
        <w:numPr>
          <w:ilvl w:val="0"/>
          <w:numId w:val="1"/>
        </w:numPr>
        <w:ind w:firstLineChars="0"/>
      </w:pPr>
      <w:r>
        <w:rPr>
          <w:rFonts w:hint="eastAsia"/>
        </w:rPr>
        <w:t>以项目任务进度方式重现案例的整个过程并提供完整的案例原始数据</w:t>
      </w:r>
    </w:p>
    <w:p>
      <w:pPr>
        <w:pStyle w:val="15"/>
        <w:numPr>
          <w:ilvl w:val="0"/>
          <w:numId w:val="1"/>
        </w:numPr>
        <w:ind w:firstLineChars="0"/>
      </w:pPr>
      <w:r>
        <w:rPr>
          <w:rFonts w:hint="eastAsia"/>
        </w:rPr>
        <w:t>本系统中提供软件工程开发过程中所用到的各种工具，使得学生能够提早熟悉这种团队协作和分工的环境</w:t>
      </w:r>
    </w:p>
    <w:p>
      <w:pPr>
        <w:pStyle w:val="3"/>
        <w:rPr>
          <w:rFonts w:asciiTheme="minorHAnsi" w:hAnsiTheme="minorHAnsi"/>
          <w:sz w:val="21"/>
        </w:rPr>
      </w:pPr>
      <w:r>
        <w:t>1.4</w:t>
      </w:r>
      <w:bookmarkStart w:id="11" w:name="_Toc356192837"/>
      <w:r>
        <w:t>成功指标</w:t>
      </w:r>
      <w:r>
        <w:rPr>
          <w:sz w:val="14"/>
          <w:szCs w:val="14"/>
        </w:rPr>
        <w:t>     </w:t>
      </w:r>
      <w:bookmarkEnd w:id="11"/>
    </w:p>
    <w:p>
      <w:pPr>
        <w:pStyle w:val="15"/>
        <w:numPr>
          <w:ilvl w:val="0"/>
          <w:numId w:val="2"/>
        </w:numPr>
        <w:ind w:firstLineChars="0"/>
      </w:pPr>
      <w:r>
        <w:rPr>
          <w:rFonts w:hint="eastAsia"/>
        </w:rPr>
        <w:t>解决课堂教育对工程性学科教育的效率低下的问题</w:t>
      </w:r>
    </w:p>
    <w:p>
      <w:pPr>
        <w:pStyle w:val="15"/>
        <w:numPr>
          <w:ilvl w:val="0"/>
          <w:numId w:val="2"/>
        </w:numPr>
        <w:ind w:firstLineChars="0"/>
      </w:pPr>
      <w:r>
        <w:rPr>
          <w:rFonts w:hint="eastAsia"/>
        </w:rPr>
        <w:t>能够以一种合理的易于管理表示法表达案例教学系统的案例表示</w:t>
      </w:r>
    </w:p>
    <w:p>
      <w:pPr>
        <w:pStyle w:val="15"/>
        <w:numPr>
          <w:ilvl w:val="0"/>
          <w:numId w:val="2"/>
        </w:numPr>
        <w:ind w:firstLineChars="0"/>
      </w:pPr>
      <w:r>
        <w:rPr>
          <w:rFonts w:hint="eastAsia"/>
        </w:rPr>
        <w:t>比对传统的课堂教育模式，将教学效率至少提升1</w:t>
      </w:r>
      <w:r>
        <w:t>0</w:t>
      </w:r>
      <w:r>
        <w:rPr>
          <w:rFonts w:hint="eastAsia"/>
        </w:rPr>
        <w:t>%</w:t>
      </w:r>
    </w:p>
    <w:p>
      <w:pPr>
        <w:pStyle w:val="3"/>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1"/>
        <w:rPr>
          <w:rFonts w:ascii="微软雅黑" w:hAnsi="微软雅黑"/>
          <w:sz w:val="36"/>
        </w:rPr>
      </w:pPr>
      <w:r>
        <w:t>1.5</w:t>
      </w:r>
      <w:bookmarkStart w:id="12" w:name="_Toc356192838"/>
      <w:r>
        <w:t>愿景声明</w:t>
      </w:r>
      <w:r>
        <w:rPr>
          <w:sz w:val="14"/>
          <w:szCs w:val="14"/>
        </w:rPr>
        <w:t>     </w:t>
      </w:r>
      <w:bookmarkEnd w:id="12"/>
    </w:p>
    <w:p>
      <w:pPr>
        <w:ind w:firstLine="420"/>
      </w:pPr>
      <w:r>
        <w:rPr>
          <w:rFonts w:hint="eastAsia"/>
        </w:rPr>
        <w:t>针对工程性的学生，他们在学习中最大的难点就是实践性强，单靠课堂听讲无法很好地理解书中的知识。基于项目的案例教学系统是一种</w:t>
      </w:r>
      <w:r>
        <w:t>学习系统</w:t>
      </w:r>
      <w:r>
        <w:rPr>
          <w:rFonts w:hint="eastAsia"/>
        </w:rPr>
        <w:t>，它以“</w:t>
      </w:r>
      <w:r>
        <w:t>Learning-by-doing”为主要教学思想，</w:t>
      </w:r>
      <w:r>
        <w:rPr>
          <w:rFonts w:hint="eastAsia"/>
        </w:rPr>
        <w:t>是集合互联网+教育</w:t>
      </w:r>
      <w:r>
        <w:t>作为载体，融合案例教学法、项目教学法以及问题导向型学习法各种优点的学习系统</w:t>
      </w:r>
      <w:r>
        <w:rPr>
          <w:rFonts w:hint="eastAsia"/>
        </w:rPr>
        <w:t>。</w:t>
      </w:r>
    </w:p>
    <w:p>
      <w:pPr>
        <w:ind w:firstLine="420"/>
      </w:pPr>
      <w:r>
        <w:rPr>
          <w:rFonts w:hint="eastAsia"/>
        </w:rPr>
        <w:t>在基于项目的案例学习系统中，用于实践的项目都来源于现实中的案例，而这些案例的表述则是来源于我们对工程类学科案例的共性的抽象。我们首先对这一类案例进行项目共同属性的抽取，定义完整的项目描述的OWL，然后再将案例中所具备的项目元素进行填充从而形成一个符合本系统的项目化案例的OWL文件。</w:t>
      </w:r>
    </w:p>
    <w:p>
      <w:pPr>
        <w:ind w:firstLine="420"/>
      </w:pPr>
      <w:r>
        <w:rPr>
          <w:rFonts w:hint="eastAsia"/>
        </w:rPr>
        <w:t>最后，通过本系统将这一个项目化案例的OWL文件进行还原并加入到系统数据库。不同于传统的学习系统，也不同于一般的互联网+教育的学习系统，我们的产品能够在</w:t>
      </w:r>
      <w:r>
        <w:t>“Learning-by-doing</w:t>
      </w:r>
      <w:r>
        <w:rPr>
          <w:rFonts w:hint="eastAsia"/>
        </w:rPr>
        <w:t>”的教学思想下，以项目的形式组织工程类案例，使得学生的学习不再像过去仅仅只是读与记，而是真正动手做。增强学生的动手能力。同时又，使得学生在实践过程中对团队协作、全局把握有了自己的认识。</w:t>
      </w:r>
    </w:p>
    <w:p>
      <w:pPr>
        <w:pStyle w:val="3"/>
      </w:pPr>
      <w:r>
        <w:t>1.6</w:t>
      </w:r>
      <w:bookmarkStart w:id="13" w:name="_Toc356192839"/>
      <w:r>
        <w:t>商业风险     </w:t>
      </w:r>
      <w:bookmarkEnd w:id="13"/>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7"/>
        <w:gridCol w:w="3060"/>
        <w:gridCol w:w="3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8" w:hRule="atLeast"/>
        </w:trPr>
        <w:tc>
          <w:tcPr>
            <w:tcW w:w="2267" w:type="dxa"/>
            <w:shd w:val="clear" w:color="auto" w:fill="D0CECE" w:themeFill="background2" w:themeFillShade="E6"/>
          </w:tcPr>
          <w:p>
            <w:pPr>
              <w:ind w:firstLine="420"/>
            </w:pPr>
            <w:r>
              <w:rPr>
                <w:rFonts w:hint="eastAsia"/>
              </w:rPr>
              <w:t>风险类型</w:t>
            </w:r>
          </w:p>
        </w:tc>
        <w:tc>
          <w:tcPr>
            <w:tcW w:w="3060" w:type="dxa"/>
            <w:shd w:val="clear" w:color="auto" w:fill="D0CECE" w:themeFill="background2" w:themeFillShade="E6"/>
          </w:tcPr>
          <w:p>
            <w:pPr>
              <w:ind w:firstLine="420"/>
            </w:pPr>
            <w:r>
              <w:rPr>
                <w:rFonts w:hint="eastAsia"/>
              </w:rPr>
              <w:t>存在风险</w:t>
            </w:r>
          </w:p>
        </w:tc>
        <w:tc>
          <w:tcPr>
            <w:tcW w:w="3195" w:type="dxa"/>
            <w:shd w:val="clear" w:color="auto" w:fill="D0CECE" w:themeFill="background2" w:themeFillShade="E6"/>
          </w:tcPr>
          <w:p>
            <w:pPr>
              <w:ind w:firstLine="420"/>
            </w:pPr>
            <w:r>
              <w:rPr>
                <w:rFonts w:hint="eastAsia"/>
              </w:rPr>
              <w:t>规避方法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2267" w:type="dxa"/>
          </w:tcPr>
          <w:p>
            <w:pPr>
              <w:ind w:firstLine="420"/>
            </w:pPr>
            <w:r>
              <w:rPr>
                <w:rFonts w:hint="eastAsia"/>
              </w:rPr>
              <w:t>进度风险</w:t>
            </w:r>
          </w:p>
        </w:tc>
        <w:tc>
          <w:tcPr>
            <w:tcW w:w="3060" w:type="dxa"/>
          </w:tcPr>
          <w:p>
            <w:pPr>
              <w:ind w:left="0" w:leftChars="0" w:firstLine="0" w:firstLineChars="0"/>
            </w:pPr>
            <w:r>
              <w:rPr>
                <w:rFonts w:hint="eastAsia"/>
              </w:rPr>
              <w:t>项目复杂繁重，小组成员没有充足的时间，可能无法会产生进度的滞后</w:t>
            </w:r>
          </w:p>
        </w:tc>
        <w:tc>
          <w:tcPr>
            <w:tcW w:w="3195" w:type="dxa"/>
          </w:tcPr>
          <w:p>
            <w:pPr>
              <w:ind w:left="0" w:leftChars="0" w:firstLine="0" w:firstLineChars="0"/>
            </w:pPr>
            <w:r>
              <w:rPr>
                <w:rFonts w:hint="eastAsia"/>
              </w:rPr>
              <w:t>小组成员合理规划时间，尽可能是课余时间满足本次项目要求。如遇特殊情况，如小组成员生病等不可抗因素，要向杨老师申请延期。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05" w:hRule="atLeast"/>
        </w:trPr>
        <w:tc>
          <w:tcPr>
            <w:tcW w:w="2267" w:type="dxa"/>
            <w:vMerge w:val="restart"/>
          </w:tcPr>
          <w:p>
            <w:pPr>
              <w:ind w:firstLine="420"/>
            </w:pPr>
            <w:r>
              <w:rPr>
                <w:rFonts w:hint="eastAsia"/>
              </w:rPr>
              <w:t>技术风险</w:t>
            </w:r>
          </w:p>
        </w:tc>
        <w:tc>
          <w:tcPr>
            <w:tcW w:w="3060" w:type="dxa"/>
          </w:tcPr>
          <w:p>
            <w:pPr>
              <w:ind w:left="0" w:leftChars="0" w:firstLine="0" w:firstLineChars="0"/>
            </w:pPr>
            <w:r>
              <w:rPr>
                <w:rFonts w:hint="eastAsia"/>
              </w:rPr>
              <w:t>部分功能对技术要求高，可能没有能力实现</w:t>
            </w:r>
          </w:p>
        </w:tc>
        <w:tc>
          <w:tcPr>
            <w:tcW w:w="3195" w:type="dxa"/>
          </w:tcPr>
          <w:p>
            <w:pPr>
              <w:ind w:left="0" w:leftChars="0" w:firstLine="0" w:firstLineChars="0"/>
            </w:pPr>
            <w:r>
              <w:rPr>
                <w:rFonts w:hint="eastAsia"/>
              </w:rPr>
              <w:t>充分研究社区的开源代码，寻找合适的开源代码代替自主开发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22" w:hRule="atLeast"/>
        </w:trPr>
        <w:tc>
          <w:tcPr>
            <w:tcW w:w="2267" w:type="dxa"/>
            <w:vMerge w:val="continue"/>
          </w:tcPr>
          <w:p>
            <w:pPr>
              <w:ind w:firstLine="420"/>
            </w:pPr>
          </w:p>
        </w:tc>
        <w:tc>
          <w:tcPr>
            <w:tcW w:w="3060" w:type="dxa"/>
          </w:tcPr>
          <w:p>
            <w:pPr>
              <w:ind w:left="0" w:leftChars="0" w:firstLine="0" w:firstLineChars="0"/>
            </w:pPr>
            <w:r>
              <w:rPr>
                <w:rFonts w:hint="eastAsia"/>
              </w:rPr>
              <w:t>小组成员对各类必要工具的掌握程度低，可能无法完成预想的工作</w:t>
            </w:r>
          </w:p>
        </w:tc>
        <w:tc>
          <w:tcPr>
            <w:tcW w:w="3195" w:type="dxa"/>
          </w:tcPr>
          <w:p>
            <w:pPr>
              <w:ind w:left="0" w:leftChars="0" w:firstLine="0" w:firstLineChars="0"/>
            </w:pPr>
            <w:r>
              <w:rPr>
                <w:rFonts w:hint="eastAsia"/>
              </w:rPr>
              <w:t>小组成员提前指定学习计划，对可能需要使用到的功能进行充分的探索性尝试。如遇到无法解觉得问题可以上网查询，小组成员交流，与其余小组交流。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23" w:hRule="atLeast"/>
        </w:trPr>
        <w:tc>
          <w:tcPr>
            <w:tcW w:w="2267" w:type="dxa"/>
          </w:tcPr>
          <w:p>
            <w:pPr>
              <w:ind w:firstLine="420"/>
            </w:pPr>
            <w:r>
              <w:rPr>
                <w:rFonts w:hint="eastAsia"/>
              </w:rPr>
              <w:t>质量风险</w:t>
            </w:r>
          </w:p>
        </w:tc>
        <w:tc>
          <w:tcPr>
            <w:tcW w:w="3060" w:type="dxa"/>
          </w:tcPr>
          <w:p>
            <w:pPr>
              <w:ind w:left="0" w:leftChars="0" w:firstLine="0" w:firstLineChars="0"/>
            </w:pPr>
            <w:r>
              <w:rPr>
                <w:rFonts w:hint="eastAsia"/>
              </w:rPr>
              <w:t>原型及系统功能设计不符合甲方要求</w:t>
            </w:r>
          </w:p>
        </w:tc>
        <w:tc>
          <w:tcPr>
            <w:tcW w:w="3195" w:type="dxa"/>
          </w:tcPr>
          <w:p>
            <w:pPr>
              <w:ind w:left="0" w:leftChars="0" w:firstLine="0" w:firstLineChars="0"/>
            </w:pPr>
            <w:r>
              <w:rPr>
                <w:rFonts w:hint="eastAsia"/>
              </w:rPr>
              <w:t>小组充分与杨老师进行交流，及时改正不足之处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7" w:type="dxa"/>
          </w:tcPr>
          <w:p>
            <w:pPr>
              <w:ind w:firstLine="420"/>
            </w:pPr>
            <w:r>
              <w:rPr>
                <w:rFonts w:hint="eastAsia"/>
              </w:rPr>
              <w:t>社会风险</w:t>
            </w:r>
          </w:p>
        </w:tc>
        <w:tc>
          <w:tcPr>
            <w:tcW w:w="3060" w:type="dxa"/>
          </w:tcPr>
          <w:p>
            <w:pPr>
              <w:ind w:left="0" w:leftChars="0" w:firstLine="0" w:firstLineChars="0"/>
            </w:pPr>
            <w:r>
              <w:rPr>
                <w:rFonts w:hint="eastAsia"/>
              </w:rPr>
              <w:t>网站存在实时交流和bbs模块，可能会有用户生产不当言论</w:t>
            </w:r>
          </w:p>
        </w:tc>
        <w:tc>
          <w:tcPr>
            <w:tcW w:w="3195" w:type="dxa"/>
          </w:tcPr>
          <w:p>
            <w:pPr>
              <w:ind w:left="0" w:leftChars="0" w:firstLine="0" w:firstLineChars="0"/>
            </w:pPr>
            <w:r>
              <w:rPr>
                <w:rFonts w:hint="eastAsia"/>
              </w:rPr>
              <w:t>引入语义理解模块，屏蔽不良言论。采用实名制注册，降低用户发出不当言论的几率</w:t>
            </w:r>
          </w:p>
        </w:tc>
      </w:tr>
    </w:tbl>
    <w:p>
      <w:pPr>
        <w:pStyle w:val="3"/>
      </w:pPr>
      <w:r>
        <w:t>1.7</w:t>
      </w:r>
      <w:bookmarkStart w:id="14" w:name="_Toc356192840"/>
      <w:r>
        <w:t>业务假设和依赖性     </w:t>
      </w:r>
      <w:bookmarkEnd w:id="14"/>
    </w:p>
    <w:p>
      <w:pPr>
        <w:ind w:firstLine="420" w:firstLineChars="0"/>
      </w:pPr>
      <w:bookmarkStart w:id="15" w:name="_Toc356192841"/>
      <w:r>
        <w:rPr>
          <w:rFonts w:hint="eastAsia"/>
        </w:rPr>
        <w:t>假设：</w:t>
      </w:r>
    </w:p>
    <w:p>
      <w:pPr>
        <w:pStyle w:val="15"/>
        <w:numPr>
          <w:ilvl w:val="0"/>
          <w:numId w:val="3"/>
        </w:numPr>
        <w:ind w:firstLineChars="0"/>
        <w:rPr>
          <w:rFonts w:ascii="宋体" w:hAnsi="宋体"/>
        </w:rPr>
      </w:pPr>
      <w:r>
        <w:rPr>
          <w:rFonts w:hint="eastAsia" w:ascii="宋体" w:hAnsi="宋体"/>
        </w:rPr>
        <w:t>学校支持在工程性学科上更重视学生的实践能力培养而不是采用传统教学方法进行教学</w:t>
      </w:r>
    </w:p>
    <w:p>
      <w:pPr>
        <w:pStyle w:val="15"/>
        <w:numPr>
          <w:ilvl w:val="0"/>
          <w:numId w:val="3"/>
        </w:numPr>
        <w:ind w:firstLineChars="0"/>
        <w:rPr>
          <w:rFonts w:ascii="宋体" w:hAnsi="宋体"/>
        </w:rPr>
      </w:pPr>
      <w:r>
        <w:rPr>
          <w:rFonts w:hint="eastAsia" w:ascii="宋体" w:hAnsi="宋体"/>
        </w:rPr>
        <w:t>学生在网上学习时能够有较好的自控力</w:t>
      </w:r>
    </w:p>
    <w:p>
      <w:pPr>
        <w:pStyle w:val="15"/>
        <w:numPr>
          <w:ilvl w:val="0"/>
          <w:numId w:val="3"/>
        </w:numPr>
        <w:ind w:firstLineChars="0"/>
        <w:rPr>
          <w:rFonts w:ascii="宋体" w:hAnsi="宋体"/>
        </w:rPr>
      </w:pPr>
      <w:r>
        <w:rPr>
          <w:rFonts w:hint="eastAsia" w:ascii="宋体" w:hAnsi="宋体"/>
        </w:rPr>
        <w:t>该软件能极大地提高学生的实践能力</w:t>
      </w:r>
    </w:p>
    <w:p>
      <w:pPr>
        <w:pStyle w:val="15"/>
        <w:numPr>
          <w:ilvl w:val="0"/>
          <w:numId w:val="3"/>
        </w:numPr>
        <w:ind w:firstLineChars="0"/>
      </w:pPr>
      <w:r>
        <w:rPr>
          <w:rFonts w:hint="eastAsia"/>
        </w:rPr>
        <w:t>依赖：</w:t>
      </w:r>
    </w:p>
    <w:p>
      <w:pPr>
        <w:pStyle w:val="15"/>
        <w:numPr>
          <w:ilvl w:val="0"/>
          <w:numId w:val="3"/>
        </w:numPr>
        <w:ind w:firstLineChars="0"/>
        <w:rPr>
          <w:rFonts w:ascii="宋体" w:hAnsi="宋体"/>
        </w:rPr>
      </w:pPr>
      <w:r>
        <w:rPr>
          <w:rFonts w:hint="eastAsia" w:ascii="宋体" w:hAnsi="宋体"/>
        </w:rPr>
        <w:t>服务器提供商</w:t>
      </w:r>
    </w:p>
    <w:p>
      <w:pPr>
        <w:pStyle w:val="2"/>
      </w:pPr>
      <w:r>
        <w:t>2.范围和局限性     </w:t>
      </w:r>
      <w:bookmarkEnd w:id="15"/>
    </w:p>
    <w:p>
      <w:pPr>
        <w:pStyle w:val="3"/>
        <w:rPr>
          <w:rFonts w:ascii="微软雅黑" w:hAnsi="微软雅黑"/>
          <w:sz w:val="36"/>
        </w:rPr>
      </w:pPr>
      <w:r>
        <w:t>2.1</w:t>
      </w:r>
      <w:bookmarkStart w:id="16" w:name="_Toc356192842"/>
      <w:r>
        <w:t>主要特点</w:t>
      </w:r>
      <w:r>
        <w:rPr>
          <w:sz w:val="14"/>
          <w:szCs w:val="14"/>
        </w:rPr>
        <w:t>     </w:t>
      </w:r>
      <w:bookmarkEnd w:id="16"/>
    </w:p>
    <w:p>
      <w:pPr>
        <w:pStyle w:val="15"/>
        <w:keepNext w:val="0"/>
        <w:keepLines w:val="0"/>
        <w:pageBreakBefore w:val="0"/>
        <w:widowControl w:val="0"/>
        <w:numPr>
          <w:ilvl w:val="0"/>
          <w:numId w:val="4"/>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b/>
          <w:bCs/>
        </w:rPr>
      </w:pPr>
      <w:r>
        <w:rPr>
          <w:rFonts w:ascii="宋体" w:hAnsi="宋体"/>
          <w:b/>
          <w:bCs/>
        </w:rPr>
        <w:t>管理员：</w:t>
      </w:r>
    </w:p>
    <w:p>
      <w:pPr>
        <w:pStyle w:val="15"/>
        <w:keepNext w:val="0"/>
        <w:keepLines w:val="0"/>
        <w:pageBreakBefore w:val="0"/>
        <w:widowControl w:val="0"/>
        <w:numPr>
          <w:ilvl w:val="0"/>
          <w:numId w:val="5"/>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案例管理——管理员能够查找和查看系统中存在的案例，并且对系统中存在的案例进行冻结与删除。同时管理员还能够上传符合系统要求的案例。</w:t>
      </w:r>
    </w:p>
    <w:p>
      <w:pPr>
        <w:pStyle w:val="15"/>
        <w:keepNext w:val="0"/>
        <w:keepLines w:val="0"/>
        <w:pageBreakBefore w:val="0"/>
        <w:widowControl w:val="0"/>
        <w:numPr>
          <w:ilvl w:val="0"/>
          <w:numId w:val="5"/>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用户管理——管理员能够查找和查看系统中的某一用户的相应信息，并对其进行相应的操作，如冻结、删除等。</w:t>
      </w:r>
    </w:p>
    <w:p>
      <w:pPr>
        <w:pStyle w:val="15"/>
        <w:keepNext w:val="0"/>
        <w:keepLines w:val="0"/>
        <w:pageBreakBefore w:val="0"/>
        <w:widowControl w:val="0"/>
        <w:numPr>
          <w:ilvl w:val="0"/>
          <w:numId w:val="5"/>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系统管理——包括对系统数据库的备份与恢复，查看系统的管理日志、系统错误日志以进行系统维护等等功能。</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jc w:val="both"/>
        <w:textAlignment w:val="auto"/>
        <w:outlineLvl w:val="9"/>
        <w:rPr>
          <w:rFonts w:ascii="宋体" w:hAnsi="宋体"/>
        </w:rPr>
      </w:pPr>
    </w:p>
    <w:p>
      <w:pPr>
        <w:pStyle w:val="15"/>
        <w:keepNext w:val="0"/>
        <w:keepLines w:val="0"/>
        <w:pageBreakBefore w:val="0"/>
        <w:widowControl w:val="0"/>
        <w:numPr>
          <w:ilvl w:val="0"/>
          <w:numId w:val="4"/>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b/>
          <w:bCs/>
        </w:rPr>
      </w:pPr>
      <w:r>
        <w:rPr>
          <w:rFonts w:ascii="宋体" w:hAnsi="宋体"/>
          <w:b/>
          <w:bCs/>
        </w:rPr>
        <w:t>普通用户：</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jc w:val="both"/>
        <w:textAlignment w:val="auto"/>
        <w:outlineLvl w:val="9"/>
      </w:pPr>
      <w:r>
        <w:rPr>
          <w:rFonts w:hint="eastAsia"/>
        </w:rPr>
        <w:t>正常状态下：</w:t>
      </w:r>
    </w:p>
    <w:p>
      <w:pPr>
        <w:pStyle w:val="15"/>
        <w:keepNext w:val="0"/>
        <w:keepLines w:val="0"/>
        <w:pageBreakBefore w:val="0"/>
        <w:widowControl w:val="0"/>
        <w:numPr>
          <w:ilvl w:val="0"/>
          <w:numId w:val="6"/>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案例查看——可以查看系统中存在的并且可以进行学习的案例，同时也能够对该案例进行讨论。也能够通过查看案例的详细信息获得从该案例中所建立的相关项目信息，或者自行建立一个基于该案例的项目。</w:t>
      </w:r>
    </w:p>
    <w:p>
      <w:pPr>
        <w:pStyle w:val="15"/>
        <w:keepNext w:val="0"/>
        <w:keepLines w:val="0"/>
        <w:pageBreakBefore w:val="0"/>
        <w:widowControl w:val="0"/>
        <w:numPr>
          <w:ilvl w:val="0"/>
          <w:numId w:val="6"/>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实例操作——实例是在系统中，由案例所建立的项目的统称。用户能够查看在系统中存在的并且可以进行参与的项目。用户还能够对某一项目进行申请或者退出等操作；建立该项目的用户则能够进行项目的关闭或者打开等操作。</w:t>
      </w:r>
      <w:r>
        <w:rPr>
          <w:rFonts w:ascii="宋体" w:hAnsi="宋体"/>
        </w:rPr>
        <w:t xml:space="preserve"> </w:t>
      </w:r>
    </w:p>
    <w:p>
      <w:pPr>
        <w:pStyle w:val="15"/>
        <w:keepNext w:val="0"/>
        <w:keepLines w:val="0"/>
        <w:pageBreakBefore w:val="0"/>
        <w:widowControl w:val="0"/>
        <w:numPr>
          <w:ilvl w:val="0"/>
          <w:numId w:val="6"/>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个人空间管理——管理自己在该系统中所注册的信息，并可以查看其他用户的留言或者给其他用户进行留言。</w:t>
      </w:r>
      <w:r>
        <w:rPr>
          <w:rFonts w:ascii="宋体" w:hAnsi="宋体"/>
        </w:rPr>
        <w:t xml:space="preserve"> </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jc w:val="both"/>
        <w:textAlignment w:val="auto"/>
        <w:outlineLvl w:val="9"/>
      </w:pPr>
      <w:r>
        <w:rPr>
          <w:rFonts w:hint="eastAsia"/>
        </w:rPr>
        <w:t>项目学习过程中：</w:t>
      </w:r>
      <w:r>
        <w:t xml:space="preserve"> </w:t>
      </w:r>
    </w:p>
    <w:p>
      <w:pPr>
        <w:pStyle w:val="15"/>
        <w:keepNext w:val="0"/>
        <w:keepLines w:val="0"/>
        <w:pageBreakBefore w:val="0"/>
        <w:widowControl w:val="0"/>
        <w:numPr>
          <w:ilvl w:val="0"/>
          <w:numId w:val="7"/>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学生：</w:t>
      </w:r>
      <w:r>
        <w:rPr>
          <w:rFonts w:ascii="宋体" w:hAnsi="宋体"/>
        </w:rPr>
        <w:t xml:space="preserve"> </w:t>
      </w:r>
    </w:p>
    <w:p>
      <w:pPr>
        <w:pStyle w:val="15"/>
        <w:keepNext w:val="0"/>
        <w:keepLines w:val="0"/>
        <w:pageBreakBefore w:val="0"/>
        <w:widowControl w:val="0"/>
        <w:numPr>
          <w:ilvl w:val="0"/>
          <w:numId w:val="8"/>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角色扮演——能够在项目中扮演某个角色，以此了解和实践该角色在整个项目进程中所发挥的作用，从而获得项目的相应经验。</w:t>
      </w:r>
      <w:r>
        <w:rPr>
          <w:rFonts w:ascii="宋体" w:hAnsi="宋体"/>
        </w:rPr>
        <w:t xml:space="preserve"> </w:t>
      </w:r>
    </w:p>
    <w:p>
      <w:pPr>
        <w:pStyle w:val="15"/>
        <w:keepNext w:val="0"/>
        <w:keepLines w:val="0"/>
        <w:pageBreakBefore w:val="0"/>
        <w:widowControl w:val="0"/>
        <w:numPr>
          <w:ilvl w:val="0"/>
          <w:numId w:val="8"/>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个人任务查看——用户能够查看到自己所扮演的角色在项目整体过程中所需要完成的任务，并查看相应的任务描述。</w:t>
      </w:r>
      <w:r>
        <w:rPr>
          <w:rFonts w:ascii="宋体" w:hAnsi="宋体"/>
        </w:rPr>
        <w:t xml:space="preserve"> </w:t>
      </w:r>
    </w:p>
    <w:p>
      <w:pPr>
        <w:pStyle w:val="15"/>
        <w:keepNext w:val="0"/>
        <w:keepLines w:val="0"/>
        <w:pageBreakBefore w:val="0"/>
        <w:widowControl w:val="0"/>
        <w:numPr>
          <w:ilvl w:val="0"/>
          <w:numId w:val="8"/>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整体规划——用户能够看到整个项目中所设定的项目计划，以及每个子任务的具体信息。同时也能够查看项目的甘特图表以了解整个项目的进度计划。</w:t>
      </w:r>
      <w:r>
        <w:rPr>
          <w:rFonts w:ascii="宋体" w:hAnsi="宋体"/>
        </w:rPr>
        <w:t xml:space="preserve"> </w:t>
      </w:r>
    </w:p>
    <w:p>
      <w:pPr>
        <w:pStyle w:val="15"/>
        <w:keepNext w:val="0"/>
        <w:keepLines w:val="0"/>
        <w:pageBreakBefore w:val="0"/>
        <w:widowControl w:val="0"/>
        <w:numPr>
          <w:ilvl w:val="0"/>
          <w:numId w:val="8"/>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④文档的上传与下载——用户能够上传自己完成的项目文档以供项目经理进行检查。同时用户也能够下载存在于标准案例中的相应文档以进行学习，找出自己的不足。</w:t>
      </w:r>
      <w:r>
        <w:rPr>
          <w:rFonts w:ascii="宋体" w:hAnsi="宋体"/>
        </w:rPr>
        <w:t xml:space="preserve"> </w:t>
      </w:r>
    </w:p>
    <w:p>
      <w:pPr>
        <w:pStyle w:val="15"/>
        <w:keepNext w:val="0"/>
        <w:keepLines w:val="0"/>
        <w:pageBreakBefore w:val="0"/>
        <w:widowControl w:val="0"/>
        <w:numPr>
          <w:ilvl w:val="0"/>
          <w:numId w:val="7"/>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教师：</w:t>
      </w:r>
      <w:r>
        <w:rPr>
          <w:rFonts w:ascii="宋体" w:hAnsi="宋体"/>
        </w:rPr>
        <w:t xml:space="preserve"> </w:t>
      </w:r>
    </w:p>
    <w:p>
      <w:pPr>
        <w:pStyle w:val="15"/>
        <w:keepNext w:val="0"/>
        <w:keepLines w:val="0"/>
        <w:pageBreakBefore w:val="0"/>
        <w:widowControl w:val="0"/>
        <w:numPr>
          <w:ilvl w:val="0"/>
          <w:numId w:val="9"/>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标准文档查看——教师与学生不同，教师从一开始就能够看到项目中所有的标准文档。教师能够通过阅读标准文档结合自己的项目经验给学生完成某个任务以更为合理的建议。</w:t>
      </w:r>
      <w:r>
        <w:rPr>
          <w:rFonts w:ascii="宋体" w:hAnsi="宋体"/>
        </w:rPr>
        <w:t xml:space="preserve"> </w:t>
      </w:r>
    </w:p>
    <w:p>
      <w:pPr>
        <w:pStyle w:val="15"/>
        <w:keepNext w:val="0"/>
        <w:keepLines w:val="0"/>
        <w:pageBreakBefore w:val="0"/>
        <w:widowControl w:val="0"/>
        <w:numPr>
          <w:ilvl w:val="0"/>
          <w:numId w:val="9"/>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任务提点——教师能够根据自己的经验对完成该项目中的某个任务所需要具备的知识与技能进行建议编写，也能够对参考书目进行推荐以达到学生在完成任务过程中事半功倍的效果。</w:t>
      </w:r>
    </w:p>
    <w:p>
      <w:pPr>
        <w:pStyle w:val="15"/>
        <w:keepNext w:val="0"/>
        <w:keepLines w:val="0"/>
        <w:pageBreakBefore w:val="0"/>
        <w:widowControl w:val="0"/>
        <w:numPr>
          <w:ilvl w:val="0"/>
          <w:numId w:val="9"/>
        </w:numPr>
        <w:kinsoku/>
        <w:wordWrap/>
        <w:overflowPunct/>
        <w:topLinePunct w:val="0"/>
        <w:autoSpaceDE/>
        <w:autoSpaceDN/>
        <w:bidi w:val="0"/>
        <w:adjustRightInd/>
        <w:snapToGrid/>
        <w:spacing w:line="288" w:lineRule="auto"/>
        <w:ind w:right="0" w:rightChars="0" w:firstLineChars="0"/>
        <w:jc w:val="both"/>
        <w:textAlignment w:val="auto"/>
        <w:outlineLvl w:val="9"/>
        <w:rPr>
          <w:rFonts w:ascii="宋体" w:hAnsi="宋体"/>
        </w:rPr>
      </w:pPr>
      <w:r>
        <w:rPr>
          <w:rFonts w:hint="eastAsia" w:ascii="宋体" w:hAnsi="宋体"/>
        </w:rPr>
        <w:t>即时交流——教师能够通过即时通讯工具与正在项目中进行实践的学生进行交流，为学生指点江山。</w:t>
      </w:r>
    </w:p>
    <w:p>
      <w:pPr>
        <w:pStyle w:val="3"/>
        <w:rPr>
          <w:rFonts w:ascii="微软雅黑" w:hAnsi="微软雅黑"/>
          <w:sz w:val="36"/>
        </w:rPr>
      </w:pPr>
      <w:r>
        <w:t>2.2</w:t>
      </w:r>
      <w:bookmarkStart w:id="17" w:name="_Toc356192843"/>
      <w:r>
        <w:t>初始发行范围</w:t>
      </w:r>
      <w:r>
        <w:rPr>
          <w:sz w:val="14"/>
          <w:szCs w:val="14"/>
        </w:rPr>
        <w:t>     </w:t>
      </w:r>
      <w:bookmarkEnd w:id="17"/>
    </w:p>
    <w:p>
      <w:pPr>
        <w:widowControl/>
        <w:numPr>
          <w:ilvl w:val="0"/>
          <w:numId w:val="10"/>
        </w:numPr>
        <w:spacing w:line="288" w:lineRule="auto"/>
        <w:ind w:firstLine="420" w:firstLineChars="0"/>
      </w:pPr>
      <w:r>
        <w:rPr>
          <w:rFonts w:hint="eastAsia"/>
        </w:rPr>
        <w:t>实现教学案例的管理，有增删改查的功能</w:t>
      </w:r>
    </w:p>
    <w:p>
      <w:pPr>
        <w:widowControl/>
        <w:numPr>
          <w:ilvl w:val="0"/>
          <w:numId w:val="10"/>
        </w:numPr>
        <w:spacing w:line="288" w:lineRule="auto"/>
        <w:ind w:firstLine="420" w:firstLineChars="0"/>
      </w:pPr>
      <w:r>
        <w:rPr>
          <w:rFonts w:hint="eastAsia"/>
        </w:rPr>
        <w:t>实现案例的实践功能，能建立特定案例的学习实例，用户可以扮演案例中的特定角色，通过项目化的案例实践，达到学习的目的</w:t>
      </w:r>
    </w:p>
    <w:p>
      <w:pPr>
        <w:widowControl/>
        <w:numPr>
          <w:ilvl w:val="0"/>
          <w:numId w:val="10"/>
        </w:numPr>
        <w:spacing w:line="288" w:lineRule="auto"/>
        <w:ind w:firstLine="420" w:firstLineChars="0"/>
      </w:pPr>
      <w:r>
        <w:rPr>
          <w:rFonts w:hint="eastAsia"/>
        </w:rPr>
        <w:t>实现案例的教学功能，能为每个案例的实践实例设定教师角色，指导学生进行案例实践</w:t>
      </w:r>
    </w:p>
    <w:p>
      <w:pPr>
        <w:keepNext w:val="0"/>
        <w:keepLines w:val="0"/>
        <w:pageBreakBefore w:val="0"/>
        <w:widowControl/>
        <w:numPr>
          <w:ilvl w:val="0"/>
          <w:numId w:val="10"/>
        </w:numPr>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pPr>
      <w:r>
        <w:rPr>
          <w:rFonts w:hint="eastAsia"/>
        </w:rPr>
        <w:t>实现评估与反馈功能，能基于案例学习角色的多角度评估，对学习过程、提交质量进行综合评价</w:t>
      </w:r>
    </w:p>
    <w:p>
      <w:pPr>
        <w:pStyle w:val="3"/>
        <w:rPr>
          <w:rFonts w:ascii="微软雅黑" w:hAnsi="微软雅黑"/>
          <w:sz w:val="36"/>
        </w:rPr>
      </w:pPr>
      <w:r>
        <w:t>2.3</w:t>
      </w:r>
      <w:bookmarkStart w:id="18" w:name="_Toc356192844"/>
      <w:r>
        <w:t>后续发行范围</w:t>
      </w:r>
      <w:r>
        <w:rPr>
          <w:sz w:val="14"/>
          <w:szCs w:val="14"/>
        </w:rPr>
        <w:t>     </w:t>
      </w:r>
      <w:bookmarkEnd w:id="18"/>
    </w:p>
    <w:p>
      <w:pPr>
        <w:ind w:firstLine="420"/>
      </w:pPr>
      <w:r>
        <w:rPr>
          <w:rFonts w:hint="eastAsia"/>
        </w:rPr>
        <w:t>在该案例教学系统产品未来的发展中，会有系列功能推迟到以后的发行版中，诸如甘特图，W</w:t>
      </w:r>
      <w:r>
        <w:t>BS</w:t>
      </w:r>
      <w:r>
        <w:rPr>
          <w:rFonts w:hint="eastAsia"/>
        </w:rPr>
        <w:t>结构，案例的完成进度图的导出，增加不同案例完成进度和完整度的比较，小组成员对案例过程和</w:t>
      </w:r>
      <w:r>
        <w:t>PM</w:t>
      </w:r>
      <w:r>
        <w:rPr>
          <w:rFonts w:hint="eastAsia"/>
        </w:rPr>
        <w:t>带领过程的评价，P</w:t>
      </w:r>
      <w:r>
        <w:t>M</w:t>
      </w:r>
      <w:r>
        <w:rPr>
          <w:rFonts w:hint="eastAsia"/>
        </w:rPr>
        <w:t>对他人案例项目的学习和评价。</w:t>
      </w:r>
    </w:p>
    <w:p>
      <w:pPr>
        <w:pStyle w:val="15"/>
        <w:widowControl/>
        <w:numPr>
          <w:ilvl w:val="0"/>
          <w:numId w:val="11"/>
        </w:numPr>
        <w:tabs>
          <w:tab w:val="left" w:pos="312"/>
        </w:tabs>
        <w:spacing w:line="288" w:lineRule="auto"/>
        <w:ind w:firstLineChars="0"/>
      </w:pPr>
      <w:r>
        <w:rPr>
          <w:rFonts w:hint="eastAsia"/>
        </w:rPr>
        <w:t xml:space="preserve"> 界面美化</w:t>
      </w:r>
    </w:p>
    <w:p>
      <w:pPr>
        <w:pStyle w:val="15"/>
        <w:widowControl/>
        <w:numPr>
          <w:ilvl w:val="0"/>
          <w:numId w:val="11"/>
        </w:numPr>
        <w:spacing w:line="288" w:lineRule="auto"/>
        <w:ind w:firstLineChars="0"/>
      </w:pPr>
      <w:r>
        <w:t>系统自动评价</w:t>
      </w:r>
      <w:r>
        <w:rPr>
          <w:rFonts w:hint="eastAsia"/>
        </w:rPr>
        <w:t>，</w:t>
      </w:r>
      <w:r>
        <w:t>当学生完成单个任务或项目结束时，系统根据自动评价模型对该任务</w:t>
      </w:r>
      <w:r>
        <w:rPr>
          <w:rFonts w:hint="eastAsia"/>
        </w:rPr>
        <w:t>的</w:t>
      </w:r>
      <w:r>
        <w:t>完成情况进行自动评价</w:t>
      </w:r>
    </w:p>
    <w:p>
      <w:pPr>
        <w:pStyle w:val="15"/>
        <w:widowControl/>
        <w:numPr>
          <w:ilvl w:val="0"/>
          <w:numId w:val="11"/>
        </w:numPr>
        <w:spacing w:line="288" w:lineRule="auto"/>
        <w:ind w:firstLineChars="0"/>
      </w:pPr>
      <w:r>
        <w:t>学习曲线</w:t>
      </w:r>
      <w:r>
        <w:rPr>
          <w:rFonts w:hint="eastAsia"/>
        </w:rPr>
        <w:t>，</w:t>
      </w:r>
      <w:r>
        <w:t>学习进程和学习效果可以采用数学统计的方法处理，以曲线图的形式表示出 来</w:t>
      </w:r>
    </w:p>
    <w:p>
      <w:pPr>
        <w:pStyle w:val="15"/>
        <w:widowControl/>
        <w:numPr>
          <w:ilvl w:val="0"/>
          <w:numId w:val="11"/>
        </w:numPr>
        <w:spacing w:line="288" w:lineRule="auto"/>
        <w:ind w:firstLineChars="0"/>
      </w:pPr>
      <w:r>
        <w:t>加入学习系统本身功能的评价</w:t>
      </w:r>
    </w:p>
    <w:p>
      <w:pPr>
        <w:widowControl/>
        <w:spacing w:line="240" w:lineRule="atLeast"/>
        <w:ind w:firstLine="440"/>
        <w:jc w:val="left"/>
        <w:rPr>
          <w:rFonts w:hint="eastAsia" w:ascii="Arial" w:hAnsi="Arial" w:eastAsia="微软雅黑" w:cs="Arial"/>
          <w:i/>
          <w:iCs/>
          <w:color w:val="000000"/>
          <w:kern w:val="0"/>
          <w:sz w:val="22"/>
        </w:rPr>
      </w:pPr>
    </w:p>
    <w:p>
      <w:pPr>
        <w:pStyle w:val="3"/>
        <w:rPr>
          <w:rFonts w:ascii="微软雅黑" w:hAnsi="微软雅黑"/>
          <w:sz w:val="36"/>
        </w:rPr>
      </w:pPr>
      <w:r>
        <w:t>2.4</w:t>
      </w:r>
      <w:bookmarkStart w:id="19" w:name="_Toc356192845"/>
      <w:r>
        <w:t>限制与排除</w:t>
      </w:r>
      <w:r>
        <w:rPr>
          <w:sz w:val="14"/>
          <w:szCs w:val="14"/>
        </w:rPr>
        <w:t>     </w:t>
      </w:r>
      <w:bookmarkEnd w:id="19"/>
    </w:p>
    <w:p>
      <w:pPr>
        <w:ind w:firstLine="420"/>
        <w:rPr>
          <w:rFonts w:hint="eastAsia" w:ascii="微软雅黑" w:hAnsi="微软雅黑" w:cs="宋体"/>
          <w:sz w:val="27"/>
          <w:szCs w:val="27"/>
        </w:rPr>
      </w:pPr>
      <w:r>
        <w:t xml:space="preserve">  </w:t>
      </w:r>
      <w:r>
        <w:rPr>
          <w:rFonts w:hint="eastAsia"/>
        </w:rPr>
        <w:t>该案例系统的可盈利性和该软件的文档编辑代替功能会暂时的不包含在新产品中。其他特征和特性需要与利益相关者进行详细论述后再进行补充。</w:t>
      </w:r>
    </w:p>
    <w:p>
      <w:pPr>
        <w:pStyle w:val="2"/>
        <w:rPr>
          <w:rFonts w:ascii="微软雅黑" w:hAnsi="微软雅黑"/>
          <w:sz w:val="48"/>
        </w:rPr>
      </w:pPr>
      <w:bookmarkStart w:id="20" w:name="_Toc356192846"/>
      <w:r>
        <w:t>3.业务环境</w:t>
      </w:r>
      <w:r>
        <w:rPr>
          <w:sz w:val="14"/>
          <w:szCs w:val="14"/>
        </w:rPr>
        <w:t>     </w:t>
      </w:r>
      <w:bookmarkEnd w:id="20"/>
    </w:p>
    <w:p>
      <w:pPr>
        <w:pStyle w:val="3"/>
        <w:rPr>
          <w:rFonts w:ascii="微软雅黑" w:hAnsi="微软雅黑"/>
          <w:sz w:val="36"/>
        </w:rPr>
      </w:pPr>
      <w:r>
        <w:t>3.1</w:t>
      </w:r>
      <w:bookmarkStart w:id="21" w:name="_Toc356192847"/>
      <w:r>
        <w:t>利益相关者简介</w:t>
      </w:r>
      <w:r>
        <w:rPr>
          <w:sz w:val="14"/>
          <w:szCs w:val="14"/>
        </w:rPr>
        <w:t>     </w:t>
      </w:r>
      <w:bookmarkEnd w:id="21"/>
    </w:p>
    <w:tbl>
      <w:tblPr>
        <w:tblStyle w:val="11"/>
        <w:tblW w:w="8276" w:type="dxa"/>
        <w:tblInd w:w="0" w:type="dxa"/>
        <w:tblLayout w:type="fixed"/>
        <w:tblCellMar>
          <w:top w:w="0" w:type="dxa"/>
          <w:left w:w="0" w:type="dxa"/>
          <w:bottom w:w="0" w:type="dxa"/>
          <w:right w:w="0" w:type="dxa"/>
        </w:tblCellMar>
      </w:tblPr>
      <w:tblGrid>
        <w:gridCol w:w="1428"/>
        <w:gridCol w:w="1339"/>
        <w:gridCol w:w="1861"/>
        <w:gridCol w:w="2085"/>
        <w:gridCol w:w="1563"/>
      </w:tblGrid>
      <w:tr>
        <w:tblPrEx>
          <w:tblLayout w:type="fixed"/>
        </w:tblPrEx>
        <w:tc>
          <w:tcPr>
            <w:tcW w:w="1428" w:type="dxa"/>
            <w:tcBorders>
              <w:top w:val="single" w:color="000000" w:sz="12" w:space="0"/>
              <w:left w:val="single" w:color="000000" w:sz="12" w:space="0"/>
              <w:bottom w:val="double" w:color="000000" w:sz="12" w:space="0"/>
              <w:right w:val="single" w:color="000000" w:sz="6" w:space="0"/>
            </w:tcBorders>
            <w:shd w:val="clear" w:color="auto" w:fill="D0CECE" w:themeFill="background2" w:themeFillShade="E6"/>
            <w:tcMar>
              <w:top w:w="0" w:type="dxa"/>
              <w:left w:w="108" w:type="dxa"/>
              <w:bottom w:w="0" w:type="dxa"/>
              <w:right w:w="108" w:type="dxa"/>
            </w:tcMar>
            <w:vAlign w:val="center"/>
          </w:tcPr>
          <w:p>
            <w:pPr>
              <w:ind w:firstLine="0" w:firstLineChars="0"/>
              <w:rPr>
                <w:rFonts w:ascii="宋体" w:hAnsi="宋体" w:cs="宋体"/>
                <w:sz w:val="24"/>
                <w:szCs w:val="24"/>
              </w:rPr>
            </w:pPr>
            <w:r>
              <w:t>利益相关者</w:t>
            </w:r>
          </w:p>
        </w:tc>
        <w:tc>
          <w:tcPr>
            <w:tcW w:w="1339" w:type="dxa"/>
            <w:tcBorders>
              <w:top w:val="single" w:color="000000" w:sz="12" w:space="0"/>
              <w:left w:val="single" w:color="000000" w:sz="6" w:space="0"/>
              <w:bottom w:val="double" w:color="000000" w:sz="12" w:space="0"/>
              <w:right w:val="single" w:color="000000" w:sz="6" w:space="0"/>
            </w:tcBorders>
            <w:shd w:val="clear" w:color="auto" w:fill="D0CECE" w:themeFill="background2" w:themeFillShade="E6"/>
            <w:tcMar>
              <w:top w:w="0" w:type="dxa"/>
              <w:left w:w="108" w:type="dxa"/>
              <w:bottom w:w="0" w:type="dxa"/>
              <w:right w:w="108" w:type="dxa"/>
            </w:tcMar>
            <w:vAlign w:val="center"/>
          </w:tcPr>
          <w:p>
            <w:pPr>
              <w:ind w:firstLine="0" w:firstLineChars="0"/>
              <w:rPr>
                <w:rFonts w:ascii="宋体" w:hAnsi="宋体" w:cs="宋体"/>
                <w:sz w:val="24"/>
                <w:szCs w:val="24"/>
              </w:rPr>
            </w:pPr>
            <w:r>
              <w:t>主要价值</w:t>
            </w:r>
          </w:p>
        </w:tc>
        <w:tc>
          <w:tcPr>
            <w:tcW w:w="1861" w:type="dxa"/>
            <w:tcBorders>
              <w:top w:val="single" w:color="000000" w:sz="12" w:space="0"/>
              <w:left w:val="single" w:color="000000" w:sz="6" w:space="0"/>
              <w:bottom w:val="double" w:color="000000" w:sz="12" w:space="0"/>
              <w:right w:val="single" w:color="000000" w:sz="6" w:space="0"/>
            </w:tcBorders>
            <w:shd w:val="clear" w:color="auto" w:fill="D0CECE" w:themeFill="background2" w:themeFillShade="E6"/>
            <w:tcMar>
              <w:top w:w="0" w:type="dxa"/>
              <w:left w:w="108" w:type="dxa"/>
              <w:bottom w:w="0" w:type="dxa"/>
              <w:right w:w="108" w:type="dxa"/>
            </w:tcMar>
            <w:vAlign w:val="center"/>
          </w:tcPr>
          <w:p>
            <w:pPr>
              <w:ind w:firstLine="420"/>
              <w:rPr>
                <w:rFonts w:ascii="宋体" w:hAnsi="宋体" w:cs="宋体"/>
                <w:sz w:val="24"/>
                <w:szCs w:val="24"/>
              </w:rPr>
            </w:pPr>
            <w:r>
              <w:t>态度</w:t>
            </w:r>
          </w:p>
        </w:tc>
        <w:tc>
          <w:tcPr>
            <w:tcW w:w="2085" w:type="dxa"/>
            <w:tcBorders>
              <w:top w:val="single" w:color="000000" w:sz="12" w:space="0"/>
              <w:left w:val="single" w:color="000000" w:sz="6" w:space="0"/>
              <w:bottom w:val="double" w:color="000000" w:sz="12" w:space="0"/>
              <w:right w:val="single" w:color="000000" w:sz="6" w:space="0"/>
            </w:tcBorders>
            <w:shd w:val="clear" w:color="auto" w:fill="D0CECE" w:themeFill="background2" w:themeFillShade="E6"/>
            <w:tcMar>
              <w:top w:w="0" w:type="dxa"/>
              <w:left w:w="108" w:type="dxa"/>
              <w:bottom w:w="0" w:type="dxa"/>
              <w:right w:w="108" w:type="dxa"/>
            </w:tcMar>
            <w:vAlign w:val="center"/>
          </w:tcPr>
          <w:p>
            <w:pPr>
              <w:ind w:firstLine="420"/>
              <w:rPr>
                <w:rFonts w:ascii="宋体" w:hAnsi="宋体" w:cs="宋体"/>
                <w:sz w:val="24"/>
                <w:szCs w:val="24"/>
              </w:rPr>
            </w:pPr>
            <w:r>
              <w:t>主要兴趣</w:t>
            </w:r>
          </w:p>
        </w:tc>
        <w:tc>
          <w:tcPr>
            <w:tcW w:w="1563" w:type="dxa"/>
            <w:tcBorders>
              <w:top w:val="single" w:color="000000" w:sz="12" w:space="0"/>
              <w:left w:val="single" w:color="000000" w:sz="6" w:space="0"/>
              <w:bottom w:val="double" w:color="000000" w:sz="12" w:space="0"/>
              <w:right w:val="single" w:color="000000" w:sz="12" w:space="0"/>
            </w:tcBorders>
            <w:shd w:val="clear" w:color="auto" w:fill="D0CECE" w:themeFill="background2" w:themeFillShade="E6"/>
            <w:tcMar>
              <w:top w:w="0" w:type="dxa"/>
              <w:left w:w="108" w:type="dxa"/>
              <w:bottom w:w="0" w:type="dxa"/>
              <w:right w:w="108" w:type="dxa"/>
            </w:tcMar>
            <w:vAlign w:val="center"/>
          </w:tcPr>
          <w:p>
            <w:pPr>
              <w:ind w:firstLine="420"/>
              <w:rPr>
                <w:rFonts w:ascii="宋体" w:hAnsi="宋体" w:cs="宋体"/>
                <w:sz w:val="24"/>
                <w:szCs w:val="24"/>
              </w:rPr>
            </w:pPr>
            <w:r>
              <w:t>约束</w:t>
            </w:r>
          </w:p>
        </w:tc>
      </w:tr>
      <w:tr>
        <w:tblPrEx>
          <w:tblLayout w:type="fixed"/>
        </w:tblPrEx>
        <w:tc>
          <w:tcPr>
            <w:tcW w:w="1428" w:type="dxa"/>
            <w:tcBorders>
              <w:left w:val="single" w:color="000000" w:sz="12" w:space="0"/>
              <w:bottom w:val="single" w:color="000000" w:sz="6" w:space="0"/>
              <w:right w:val="single" w:color="000000" w:sz="6" w:space="0"/>
            </w:tcBorders>
            <w:tcMar>
              <w:top w:w="0" w:type="dxa"/>
              <w:left w:w="108" w:type="dxa"/>
              <w:bottom w:w="0" w:type="dxa"/>
              <w:right w:w="108" w:type="dxa"/>
            </w:tcMar>
            <w:vAlign w:val="center"/>
          </w:tcPr>
          <w:p>
            <w:pPr>
              <w:ind w:firstLine="420"/>
            </w:pPr>
            <w:r>
              <w:rPr>
                <w:rFonts w:hint="eastAsia"/>
              </w:rPr>
              <w:t>学生</w:t>
            </w:r>
          </w:p>
        </w:tc>
        <w:tc>
          <w:tcPr>
            <w:tcW w:w="1339" w:type="dxa"/>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pPr>
              <w:ind w:left="0" w:leftChars="0" w:firstLine="0" w:firstLineChars="0"/>
            </w:pPr>
            <w:r>
              <w:rPr>
                <w:rFonts w:hint="eastAsia"/>
              </w:rPr>
              <w:t>学习软件开发过程</w:t>
            </w:r>
          </w:p>
        </w:tc>
        <w:tc>
          <w:tcPr>
            <w:tcW w:w="1861" w:type="dxa"/>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pPr>
              <w:ind w:left="0" w:leftChars="0" w:firstLine="0" w:firstLineChars="0"/>
            </w:pPr>
            <w:r>
              <w:rPr>
                <w:rFonts w:hint="eastAsia"/>
              </w:rPr>
              <w:t>容易接受，方便学习</w:t>
            </w:r>
          </w:p>
        </w:tc>
        <w:tc>
          <w:tcPr>
            <w:tcW w:w="2085" w:type="dxa"/>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pPr>
              <w:ind w:left="0" w:leftChars="0" w:firstLine="0" w:firstLineChars="0"/>
            </w:pPr>
            <w:r>
              <w:rPr>
                <w:rFonts w:hint="eastAsia"/>
              </w:rPr>
              <w:t>在减少各类成本情况下，使用移动终端进行有效的案例学习</w:t>
            </w:r>
          </w:p>
        </w:tc>
        <w:tc>
          <w:tcPr>
            <w:tcW w:w="1563" w:type="dxa"/>
            <w:tcBorders>
              <w:left w:val="single" w:color="000000" w:sz="6" w:space="0"/>
              <w:bottom w:val="single" w:color="000000" w:sz="6" w:space="0"/>
              <w:right w:val="single" w:color="000000" w:sz="12" w:space="0"/>
            </w:tcBorders>
            <w:tcMar>
              <w:top w:w="0" w:type="dxa"/>
              <w:left w:w="108" w:type="dxa"/>
              <w:bottom w:w="0" w:type="dxa"/>
              <w:right w:w="108" w:type="dxa"/>
            </w:tcMar>
          </w:tcPr>
          <w:p>
            <w:pPr>
              <w:ind w:left="0" w:leftChars="0" w:firstLine="0" w:firstLineChars="0"/>
            </w:pPr>
            <w:r>
              <w:rPr>
                <w:rFonts w:hint="eastAsia"/>
              </w:rPr>
              <w:t>移动终端上学习，并且免费</w:t>
            </w:r>
          </w:p>
        </w:tc>
      </w:tr>
      <w:tr>
        <w:tblPrEx>
          <w:tblLayout w:type="fixed"/>
        </w:tblPrEx>
        <w:tc>
          <w:tcPr>
            <w:tcW w:w="1428" w:type="dxa"/>
            <w:tcBorders>
              <w:top w:val="single" w:color="000000" w:sz="6" w:space="0"/>
              <w:left w:val="single" w:color="000000" w:sz="12" w:space="0"/>
              <w:bottom w:val="single" w:color="000000" w:sz="6" w:space="0"/>
              <w:right w:val="single" w:color="000000" w:sz="6" w:space="0"/>
            </w:tcBorders>
            <w:tcMar>
              <w:top w:w="0" w:type="dxa"/>
              <w:left w:w="108" w:type="dxa"/>
              <w:bottom w:w="0" w:type="dxa"/>
              <w:right w:w="108" w:type="dxa"/>
            </w:tcMar>
            <w:vAlign w:val="center"/>
          </w:tcPr>
          <w:p>
            <w:pPr>
              <w:ind w:firstLine="420"/>
            </w:pPr>
            <w:r>
              <w:rPr>
                <w:rFonts w:hint="eastAsia"/>
              </w:rPr>
              <w:t>老师</w:t>
            </w:r>
          </w:p>
        </w:tc>
        <w:tc>
          <w:tcPr>
            <w:tcW w:w="133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left="0" w:leftChars="0" w:firstLine="0" w:firstLineChars="0"/>
            </w:pPr>
            <w:r>
              <w:rPr>
                <w:rFonts w:hint="eastAsia"/>
              </w:rPr>
              <w:t>方便协助进行课堂教学</w:t>
            </w:r>
          </w:p>
        </w:tc>
        <w:tc>
          <w:tcPr>
            <w:tcW w:w="1861"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left="0" w:leftChars="0" w:firstLine="0" w:firstLineChars="0"/>
            </w:pPr>
            <w:r>
              <w:rPr>
                <w:rFonts w:hint="eastAsia"/>
              </w:rPr>
              <w:t>功能健全，可代替现有的案例学习</w:t>
            </w:r>
          </w:p>
        </w:tc>
        <w:tc>
          <w:tcPr>
            <w:tcW w:w="20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left="0" w:leftChars="0" w:firstLine="0" w:firstLineChars="0"/>
            </w:pPr>
            <w:r>
              <w:rPr>
                <w:rFonts w:hint="eastAsia"/>
              </w:rPr>
              <w:t>案例教学辅助功能健全，有提醒和帮助功能</w:t>
            </w:r>
          </w:p>
        </w:tc>
        <w:tc>
          <w:tcPr>
            <w:tcW w:w="1563" w:type="dxa"/>
            <w:tcBorders>
              <w:top w:val="single" w:color="000000" w:sz="6" w:space="0"/>
              <w:left w:val="single" w:color="000000" w:sz="6" w:space="0"/>
              <w:bottom w:val="single" w:color="000000" w:sz="6" w:space="0"/>
              <w:right w:val="single" w:color="000000" w:sz="12" w:space="0"/>
            </w:tcBorders>
            <w:tcMar>
              <w:top w:w="0" w:type="dxa"/>
              <w:left w:w="108" w:type="dxa"/>
              <w:bottom w:w="0" w:type="dxa"/>
              <w:right w:w="108" w:type="dxa"/>
            </w:tcMar>
          </w:tcPr>
          <w:p>
            <w:pPr>
              <w:ind w:left="0" w:leftChars="0" w:firstLine="0" w:firstLineChars="0"/>
            </w:pPr>
            <w:r>
              <w:rPr>
                <w:rFonts w:hint="eastAsia"/>
              </w:rPr>
              <w:t>可在移动终端上学习，并且免费</w:t>
            </w:r>
          </w:p>
        </w:tc>
      </w:tr>
      <w:tr>
        <w:tblPrEx>
          <w:tblLayout w:type="fixed"/>
        </w:tblPrEx>
        <w:tc>
          <w:tcPr>
            <w:tcW w:w="1428" w:type="dxa"/>
            <w:tcBorders>
              <w:top w:val="single" w:color="000000" w:sz="6" w:space="0"/>
              <w:left w:val="single" w:color="000000" w:sz="12" w:space="0"/>
              <w:bottom w:val="single" w:color="000000" w:sz="12" w:space="0"/>
              <w:right w:val="single" w:color="000000" w:sz="6" w:space="0"/>
            </w:tcBorders>
            <w:tcMar>
              <w:top w:w="0" w:type="dxa"/>
              <w:left w:w="108" w:type="dxa"/>
              <w:bottom w:w="0" w:type="dxa"/>
              <w:right w:w="108" w:type="dxa"/>
            </w:tcMar>
            <w:vAlign w:val="center"/>
          </w:tcPr>
          <w:p>
            <w:pPr>
              <w:ind w:left="0" w:leftChars="0" w:firstLine="0" w:firstLineChars="0"/>
            </w:pPr>
            <w:r>
              <w:rPr>
                <w:rFonts w:hint="eastAsia"/>
              </w:rPr>
              <w:t>软件开发从业人员</w:t>
            </w:r>
          </w:p>
        </w:tc>
        <w:tc>
          <w:tcPr>
            <w:tcW w:w="1339" w:type="dxa"/>
            <w:tcBorders>
              <w:top w:val="single" w:color="000000" w:sz="6" w:space="0"/>
              <w:left w:val="single" w:color="000000" w:sz="6" w:space="0"/>
              <w:bottom w:val="single" w:color="000000" w:sz="12" w:space="0"/>
              <w:right w:val="single" w:color="000000" w:sz="6" w:space="0"/>
            </w:tcBorders>
            <w:tcMar>
              <w:top w:w="0" w:type="dxa"/>
              <w:left w:w="108" w:type="dxa"/>
              <w:bottom w:w="0" w:type="dxa"/>
              <w:right w:w="108" w:type="dxa"/>
            </w:tcMar>
            <w:vAlign w:val="center"/>
          </w:tcPr>
          <w:p>
            <w:pPr>
              <w:ind w:left="0" w:leftChars="0" w:firstLine="0" w:firstLineChars="0"/>
            </w:pPr>
            <w:r>
              <w:rPr>
                <w:rFonts w:hint="eastAsia"/>
              </w:rPr>
              <w:t>学习熟悉软件开发过程</w:t>
            </w:r>
          </w:p>
        </w:tc>
        <w:tc>
          <w:tcPr>
            <w:tcW w:w="1861" w:type="dxa"/>
            <w:tcBorders>
              <w:top w:val="single" w:color="000000" w:sz="6" w:space="0"/>
              <w:left w:val="single" w:color="000000" w:sz="6" w:space="0"/>
              <w:bottom w:val="single" w:color="000000" w:sz="12" w:space="0"/>
              <w:right w:val="single" w:color="000000" w:sz="6" w:space="0"/>
            </w:tcBorders>
            <w:tcMar>
              <w:top w:w="0" w:type="dxa"/>
              <w:left w:w="108" w:type="dxa"/>
              <w:bottom w:w="0" w:type="dxa"/>
              <w:right w:w="108" w:type="dxa"/>
            </w:tcMar>
            <w:vAlign w:val="center"/>
          </w:tcPr>
          <w:p>
            <w:pPr>
              <w:ind w:left="0" w:leftChars="0" w:firstLine="0" w:firstLineChars="0"/>
            </w:pPr>
            <w:r>
              <w:rPr>
                <w:rFonts w:hint="eastAsia"/>
              </w:rPr>
              <w:t>快速学习软件开发过程，减少成本</w:t>
            </w:r>
          </w:p>
        </w:tc>
        <w:tc>
          <w:tcPr>
            <w:tcW w:w="2085" w:type="dxa"/>
            <w:tcBorders>
              <w:top w:val="single" w:color="000000" w:sz="6" w:space="0"/>
              <w:left w:val="single" w:color="000000" w:sz="6" w:space="0"/>
              <w:bottom w:val="single" w:color="000000" w:sz="12" w:space="0"/>
              <w:right w:val="single" w:color="000000" w:sz="6" w:space="0"/>
            </w:tcBorders>
            <w:tcMar>
              <w:top w:w="0" w:type="dxa"/>
              <w:left w:w="108" w:type="dxa"/>
              <w:bottom w:w="0" w:type="dxa"/>
              <w:right w:w="108" w:type="dxa"/>
            </w:tcMar>
            <w:vAlign w:val="center"/>
          </w:tcPr>
          <w:p>
            <w:pPr>
              <w:ind w:left="0" w:leftChars="0" w:firstLine="0" w:firstLineChars="0"/>
            </w:pPr>
            <w:r>
              <w:rPr>
                <w:rFonts w:hint="eastAsia"/>
              </w:rPr>
              <w:t>可以随时随地进行案例任务的调遣和提交</w:t>
            </w:r>
          </w:p>
        </w:tc>
        <w:tc>
          <w:tcPr>
            <w:tcW w:w="1563" w:type="dxa"/>
            <w:tcBorders>
              <w:top w:val="single" w:color="000000" w:sz="6" w:space="0"/>
              <w:left w:val="single" w:color="000000" w:sz="6" w:space="0"/>
              <w:bottom w:val="single" w:color="000000" w:sz="12" w:space="0"/>
              <w:right w:val="single" w:color="000000" w:sz="12" w:space="0"/>
            </w:tcBorders>
            <w:tcMar>
              <w:top w:w="0" w:type="dxa"/>
              <w:left w:w="108" w:type="dxa"/>
              <w:bottom w:w="0" w:type="dxa"/>
              <w:right w:w="108" w:type="dxa"/>
            </w:tcMar>
          </w:tcPr>
          <w:p>
            <w:pPr>
              <w:ind w:left="0" w:leftChars="0" w:firstLine="0" w:firstLineChars="0"/>
            </w:pPr>
            <w:r>
              <w:rPr>
                <w:rFonts w:hint="eastAsia"/>
              </w:rPr>
              <w:t>时间空间成本约束</w:t>
            </w:r>
          </w:p>
        </w:tc>
      </w:tr>
    </w:tbl>
    <w:p>
      <w:pPr>
        <w:widowControl/>
        <w:spacing w:line="240" w:lineRule="atLeast"/>
        <w:ind w:firstLine="480"/>
        <w:jc w:val="left"/>
        <w:rPr>
          <w:rFonts w:ascii="微软雅黑" w:hAnsi="微软雅黑" w:eastAsia="微软雅黑" w:cs="宋体"/>
          <w:color w:val="000000"/>
          <w:kern w:val="0"/>
          <w:sz w:val="27"/>
          <w:szCs w:val="27"/>
        </w:rPr>
      </w:pPr>
      <w:r>
        <w:rPr>
          <w:rFonts w:ascii="Times New Roman" w:hAnsi="Times New Roman" w:eastAsia="微软雅黑" w:cs="Times New Roman"/>
          <w:color w:val="000000"/>
          <w:kern w:val="0"/>
          <w:sz w:val="24"/>
          <w:szCs w:val="24"/>
        </w:rPr>
        <w:t> </w:t>
      </w:r>
    </w:p>
    <w:p>
      <w:pPr>
        <w:pStyle w:val="3"/>
      </w:pPr>
      <w:r>
        <w:t>3.2</w:t>
      </w:r>
      <w:bookmarkStart w:id="22" w:name="_Toc356192848"/>
      <w:r>
        <w:rPr>
          <w:rFonts w:hint="eastAsia"/>
        </w:rPr>
        <w:t xml:space="preserve"> </w:t>
      </w:r>
      <w:r>
        <w:t>项目重点     </w:t>
      </w:r>
      <w:bookmarkEnd w:id="22"/>
    </w:p>
    <w:tbl>
      <w:tblPr>
        <w:tblStyle w:val="11"/>
        <w:tblpPr w:leftFromText="180" w:rightFromText="180" w:vertAnchor="text" w:horzAnchor="page" w:tblpX="1789" w:tblpY="906"/>
        <w:tblOverlap w:val="never"/>
        <w:tblW w:w="8522" w:type="dxa"/>
        <w:tblInd w:w="0" w:type="dxa"/>
        <w:tblLayout w:type="fixed"/>
        <w:tblCellMar>
          <w:top w:w="0" w:type="dxa"/>
          <w:left w:w="0" w:type="dxa"/>
          <w:bottom w:w="0" w:type="dxa"/>
          <w:right w:w="0" w:type="dxa"/>
        </w:tblCellMar>
      </w:tblPr>
      <w:tblGrid>
        <w:gridCol w:w="1823"/>
        <w:gridCol w:w="1998"/>
        <w:gridCol w:w="2093"/>
        <w:gridCol w:w="2608"/>
      </w:tblGrid>
      <w:tr>
        <w:tblPrEx>
          <w:tblLayout w:type="fixed"/>
        </w:tblPrEx>
        <w:tc>
          <w:tcPr>
            <w:tcW w:w="1823" w:type="dxa"/>
            <w:tcBorders>
              <w:top w:val="single" w:color="000000" w:sz="12" w:space="0"/>
              <w:left w:val="single" w:color="000000" w:sz="12" w:space="0"/>
              <w:bottom w:val="double" w:color="000000" w:sz="12" w:space="0"/>
              <w:right w:val="single" w:color="000000" w:sz="6" w:space="0"/>
            </w:tcBorders>
            <w:tcMar>
              <w:top w:w="0" w:type="dxa"/>
              <w:left w:w="108" w:type="dxa"/>
              <w:bottom w:w="0" w:type="dxa"/>
              <w:right w:w="108" w:type="dxa"/>
            </w:tcMar>
          </w:tcPr>
          <w:p>
            <w:pPr>
              <w:ind w:left="0" w:leftChars="0" w:firstLine="0" w:firstLineChars="0"/>
            </w:pPr>
            <w:r>
              <w:t>尺寸</w:t>
            </w:r>
          </w:p>
        </w:tc>
        <w:tc>
          <w:tcPr>
            <w:tcW w:w="1998" w:type="dxa"/>
            <w:tcBorders>
              <w:top w:val="single" w:color="000000" w:sz="12" w:space="0"/>
              <w:left w:val="single" w:color="000000" w:sz="6" w:space="0"/>
              <w:bottom w:val="double" w:color="000000" w:sz="12" w:space="0"/>
              <w:right w:val="single" w:color="000000" w:sz="6" w:space="0"/>
            </w:tcBorders>
            <w:tcMar>
              <w:top w:w="0" w:type="dxa"/>
              <w:left w:w="108" w:type="dxa"/>
              <w:bottom w:w="0" w:type="dxa"/>
              <w:right w:w="108" w:type="dxa"/>
            </w:tcMar>
          </w:tcPr>
          <w:p>
            <w:pPr>
              <w:ind w:left="0" w:leftChars="0" w:firstLine="0" w:firstLineChars="0"/>
            </w:pPr>
            <w:r>
              <w:t>驱动程序（状态目标）</w:t>
            </w:r>
          </w:p>
        </w:tc>
        <w:tc>
          <w:tcPr>
            <w:tcW w:w="2093" w:type="dxa"/>
            <w:tcBorders>
              <w:top w:val="single" w:color="000000" w:sz="12" w:space="0"/>
              <w:left w:val="single" w:color="000000" w:sz="6" w:space="0"/>
              <w:bottom w:val="double" w:color="000000" w:sz="12" w:space="0"/>
              <w:right w:val="single" w:color="000000" w:sz="6" w:space="0"/>
            </w:tcBorders>
            <w:tcMar>
              <w:top w:w="0" w:type="dxa"/>
              <w:left w:w="108" w:type="dxa"/>
              <w:bottom w:w="0" w:type="dxa"/>
              <w:right w:w="108" w:type="dxa"/>
            </w:tcMar>
          </w:tcPr>
          <w:p>
            <w:pPr>
              <w:ind w:left="0" w:leftChars="0" w:firstLine="0" w:firstLineChars="0"/>
            </w:pPr>
            <w:r>
              <w:t>约束（状态限制）</w:t>
            </w:r>
          </w:p>
        </w:tc>
        <w:tc>
          <w:tcPr>
            <w:tcW w:w="2608" w:type="dxa"/>
            <w:tcBorders>
              <w:top w:val="single" w:color="000000" w:sz="12" w:space="0"/>
              <w:left w:val="single" w:color="000000" w:sz="6" w:space="0"/>
              <w:bottom w:val="double" w:color="000000" w:sz="12" w:space="0"/>
              <w:right w:val="single" w:color="000000" w:sz="12" w:space="0"/>
            </w:tcBorders>
            <w:tcMar>
              <w:top w:w="0" w:type="dxa"/>
              <w:left w:w="108" w:type="dxa"/>
              <w:bottom w:w="0" w:type="dxa"/>
              <w:right w:w="108" w:type="dxa"/>
            </w:tcMar>
          </w:tcPr>
          <w:p>
            <w:pPr>
              <w:ind w:left="0" w:leftChars="0" w:firstLine="0" w:firstLineChars="0"/>
            </w:pPr>
            <w:r>
              <w:t>自由度（状态允许范围）</w:t>
            </w:r>
          </w:p>
        </w:tc>
      </w:tr>
      <w:tr>
        <w:tblPrEx>
          <w:tblLayout w:type="fixed"/>
        </w:tblPrEx>
        <w:tc>
          <w:tcPr>
            <w:tcW w:w="1823" w:type="dxa"/>
            <w:tcBorders>
              <w:left w:val="single" w:color="000000" w:sz="12" w:space="0"/>
              <w:bottom w:val="single" w:color="000000" w:sz="6" w:space="0"/>
              <w:right w:val="single" w:color="000000" w:sz="6" w:space="0"/>
            </w:tcBorders>
            <w:tcMar>
              <w:top w:w="0" w:type="dxa"/>
              <w:left w:w="108" w:type="dxa"/>
              <w:bottom w:w="0" w:type="dxa"/>
              <w:right w:w="108" w:type="dxa"/>
            </w:tcMar>
            <w:vAlign w:val="center"/>
          </w:tcPr>
          <w:p>
            <w:pPr>
              <w:ind w:left="0" w:leftChars="0" w:firstLine="315" w:firstLineChars="150"/>
              <w:jc w:val="center"/>
            </w:pPr>
            <w:r>
              <w:t>时间表</w:t>
            </w:r>
          </w:p>
        </w:tc>
        <w:tc>
          <w:tcPr>
            <w:tcW w:w="1998" w:type="dxa"/>
            <w:tcBorders>
              <w:left w:val="single" w:color="000000" w:sz="6" w:space="0"/>
              <w:bottom w:val="single" w:color="000000" w:sz="6" w:space="0"/>
              <w:right w:val="single" w:color="000000" w:sz="6" w:space="0"/>
            </w:tcBorders>
            <w:tcMar>
              <w:top w:w="0" w:type="dxa"/>
              <w:left w:w="108" w:type="dxa"/>
              <w:bottom w:w="0" w:type="dxa"/>
              <w:right w:w="108" w:type="dxa"/>
            </w:tcMar>
          </w:tcPr>
          <w:p>
            <w:pPr>
              <w:ind w:left="0" w:leftChars="0" w:firstLine="0" w:firstLineChars="0"/>
            </w:pPr>
            <w:r>
              <w:t>版本1.1在</w:t>
            </w:r>
            <w:r>
              <w:rPr>
                <w:rFonts w:hint="eastAsia"/>
              </w:rPr>
              <w:t>14周</w:t>
            </w:r>
            <w:r>
              <w:t>发行</w:t>
            </w:r>
          </w:p>
        </w:tc>
        <w:tc>
          <w:tcPr>
            <w:tcW w:w="2093" w:type="dxa"/>
            <w:tcBorders>
              <w:left w:val="single" w:color="000000" w:sz="6" w:space="0"/>
              <w:bottom w:val="single" w:color="000000" w:sz="6" w:space="0"/>
              <w:right w:val="single" w:color="000000" w:sz="6" w:space="0"/>
            </w:tcBorders>
            <w:tcMar>
              <w:top w:w="0" w:type="dxa"/>
              <w:left w:w="108" w:type="dxa"/>
              <w:bottom w:w="0" w:type="dxa"/>
              <w:right w:w="108" w:type="dxa"/>
            </w:tcMar>
          </w:tcPr>
          <w:p>
            <w:pPr>
              <w:ind w:left="0" w:leftChars="0" w:firstLine="0" w:firstLineChars="0"/>
            </w:pPr>
            <w:r>
              <w:t>基本由约定的项目日程决定</w:t>
            </w:r>
          </w:p>
        </w:tc>
        <w:tc>
          <w:tcPr>
            <w:tcW w:w="2608" w:type="dxa"/>
            <w:tcBorders>
              <w:left w:val="single" w:color="000000" w:sz="6" w:space="0"/>
              <w:bottom w:val="single" w:color="000000" w:sz="6" w:space="0"/>
              <w:right w:val="single" w:color="000000" w:sz="12" w:space="0"/>
            </w:tcBorders>
            <w:tcMar>
              <w:top w:w="0" w:type="dxa"/>
              <w:left w:w="108" w:type="dxa"/>
              <w:bottom w:w="0" w:type="dxa"/>
              <w:right w:w="108" w:type="dxa"/>
            </w:tcMar>
          </w:tcPr>
          <w:p>
            <w:pPr>
              <w:ind w:left="0" w:leftChars="0" w:firstLine="0" w:firstLineChars="0"/>
            </w:pPr>
            <w:r>
              <w:t>尽量按时完成</w:t>
            </w:r>
            <w:r>
              <w:rPr>
                <w:rFonts w:hint="eastAsia"/>
              </w:rPr>
              <w:t>，</w:t>
            </w:r>
            <w:r>
              <w:t>如果来不及的话</w:t>
            </w:r>
            <w:r>
              <w:rPr>
                <w:rFonts w:hint="eastAsia"/>
              </w:rPr>
              <w:t>，</w:t>
            </w:r>
            <w:r>
              <w:t>应该加班</w:t>
            </w:r>
            <w:r>
              <w:rPr>
                <w:rFonts w:hint="eastAsia"/>
              </w:rPr>
              <w:t>，</w:t>
            </w:r>
            <w:r>
              <w:t>并且</w:t>
            </w:r>
            <w:r>
              <w:rPr>
                <w:rFonts w:hint="eastAsia"/>
              </w:rPr>
              <w:t>，</w:t>
            </w:r>
            <w:r>
              <w:t>应该在逾期</w:t>
            </w:r>
            <w:r>
              <w:rPr>
                <w:rFonts w:hint="eastAsia"/>
              </w:rPr>
              <w:t>一天内完成。</w:t>
            </w:r>
          </w:p>
        </w:tc>
      </w:tr>
      <w:tr>
        <w:tblPrEx>
          <w:tblLayout w:type="fixed"/>
        </w:tblPrEx>
        <w:tc>
          <w:tcPr>
            <w:tcW w:w="1823" w:type="dxa"/>
            <w:tcBorders>
              <w:top w:val="single" w:color="000000" w:sz="6" w:space="0"/>
              <w:left w:val="single" w:color="000000" w:sz="12" w:space="0"/>
              <w:bottom w:val="single" w:color="000000" w:sz="6" w:space="0"/>
              <w:right w:val="single" w:color="000000" w:sz="6" w:space="0"/>
            </w:tcBorders>
            <w:tcMar>
              <w:top w:w="0" w:type="dxa"/>
              <w:left w:w="108" w:type="dxa"/>
              <w:bottom w:w="0" w:type="dxa"/>
              <w:right w:w="108" w:type="dxa"/>
            </w:tcMar>
            <w:vAlign w:val="center"/>
          </w:tcPr>
          <w:p>
            <w:pPr>
              <w:jc w:val="center"/>
            </w:pPr>
            <w:r>
              <w:t>特征</w:t>
            </w:r>
          </w:p>
        </w:tc>
        <w:tc>
          <w:tcPr>
            <w:tcW w:w="199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ind w:left="0" w:leftChars="0" w:firstLine="0" w:firstLineChars="0"/>
            </w:pPr>
            <w:r>
              <w:t>版本严格贴近市场要求</w:t>
            </w:r>
          </w:p>
        </w:tc>
        <w:tc>
          <w:tcPr>
            <w:tcW w:w="2093"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ind w:left="0" w:leftChars="0" w:firstLine="0" w:firstLineChars="0"/>
            </w:pPr>
            <w:r>
              <w:t>必须符合客户的需求</w:t>
            </w:r>
          </w:p>
        </w:tc>
        <w:tc>
          <w:tcPr>
            <w:tcW w:w="2608" w:type="dxa"/>
            <w:tcBorders>
              <w:top w:val="single" w:color="000000" w:sz="6" w:space="0"/>
              <w:left w:val="single" w:color="000000" w:sz="6" w:space="0"/>
              <w:bottom w:val="single" w:color="000000" w:sz="6" w:space="0"/>
              <w:right w:val="single" w:color="000000" w:sz="12" w:space="0"/>
            </w:tcBorders>
            <w:tcMar>
              <w:top w:w="0" w:type="dxa"/>
              <w:left w:w="108" w:type="dxa"/>
              <w:bottom w:w="0" w:type="dxa"/>
              <w:right w:w="108" w:type="dxa"/>
            </w:tcMar>
          </w:tcPr>
          <w:p>
            <w:pPr>
              <w:ind w:left="0" w:leftChars="0" w:firstLine="0" w:firstLineChars="0"/>
            </w:pPr>
            <w:r>
              <w:rPr>
                <w:rFonts w:hint="eastAsia"/>
              </w:rPr>
              <w:t>版本</w:t>
            </w:r>
            <w:r>
              <w:t>中必须包含70-80％的高优先级功能</w:t>
            </w:r>
            <w:r>
              <w:rPr>
                <w:rFonts w:hint="eastAsia"/>
              </w:rPr>
              <w:t>，</w:t>
            </w:r>
            <w:r>
              <w:t>也可添加额外功能</w:t>
            </w:r>
          </w:p>
        </w:tc>
      </w:tr>
      <w:tr>
        <w:tblPrEx>
          <w:tblLayout w:type="fixed"/>
        </w:tblPrEx>
        <w:tc>
          <w:tcPr>
            <w:tcW w:w="1823" w:type="dxa"/>
            <w:tcBorders>
              <w:top w:val="single" w:color="000000" w:sz="6" w:space="0"/>
              <w:left w:val="single" w:color="000000" w:sz="12" w:space="0"/>
              <w:bottom w:val="single" w:color="000000" w:sz="6" w:space="0"/>
              <w:right w:val="single" w:color="000000" w:sz="6" w:space="0"/>
            </w:tcBorders>
            <w:tcMar>
              <w:top w:w="0" w:type="dxa"/>
              <w:left w:w="108" w:type="dxa"/>
              <w:bottom w:w="0" w:type="dxa"/>
              <w:right w:w="108" w:type="dxa"/>
            </w:tcMar>
            <w:vAlign w:val="center"/>
          </w:tcPr>
          <w:p>
            <w:pPr>
              <w:jc w:val="center"/>
            </w:pPr>
            <w:r>
              <w:t>质量</w:t>
            </w:r>
          </w:p>
        </w:tc>
        <w:tc>
          <w:tcPr>
            <w:tcW w:w="199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ind w:left="0" w:leftChars="0" w:firstLine="0" w:firstLineChars="0"/>
            </w:pPr>
            <w:r>
              <w:t>定时进行软件测试</w:t>
            </w:r>
          </w:p>
        </w:tc>
        <w:tc>
          <w:tcPr>
            <w:tcW w:w="2093"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ind w:left="0" w:leftChars="0" w:firstLine="0" w:firstLineChars="0"/>
            </w:pPr>
            <w:r>
              <w:t>保证软件的准确性</w:t>
            </w:r>
          </w:p>
        </w:tc>
        <w:tc>
          <w:tcPr>
            <w:tcW w:w="2608" w:type="dxa"/>
            <w:tcBorders>
              <w:top w:val="single" w:color="000000" w:sz="6" w:space="0"/>
              <w:left w:val="single" w:color="000000" w:sz="6" w:space="0"/>
              <w:bottom w:val="single" w:color="000000" w:sz="6" w:space="0"/>
              <w:right w:val="single" w:color="000000" w:sz="12" w:space="0"/>
            </w:tcBorders>
            <w:tcMar>
              <w:top w:w="0" w:type="dxa"/>
              <w:left w:w="108" w:type="dxa"/>
              <w:bottom w:w="0" w:type="dxa"/>
              <w:right w:w="108" w:type="dxa"/>
            </w:tcMar>
          </w:tcPr>
          <w:p>
            <w:pPr>
              <w:ind w:left="0" w:leftChars="0" w:firstLine="0" w:firstLineChars="0"/>
            </w:pPr>
            <w:r>
              <w:t>对于版本1.0，必须通过90-95％的用户接受测试，对于版本1.1，必须通过95-98％</w:t>
            </w:r>
          </w:p>
        </w:tc>
      </w:tr>
      <w:tr>
        <w:tblPrEx>
          <w:tblLayout w:type="fixed"/>
        </w:tblPrEx>
        <w:tc>
          <w:tcPr>
            <w:tcW w:w="1823" w:type="dxa"/>
            <w:tcBorders>
              <w:top w:val="single" w:color="000000" w:sz="6" w:space="0"/>
              <w:left w:val="single" w:color="000000" w:sz="12" w:space="0"/>
              <w:bottom w:val="single" w:color="000000" w:sz="6" w:space="0"/>
              <w:right w:val="single" w:color="000000" w:sz="6" w:space="0"/>
            </w:tcBorders>
            <w:tcMar>
              <w:top w:w="0" w:type="dxa"/>
              <w:left w:w="108" w:type="dxa"/>
              <w:bottom w:w="0" w:type="dxa"/>
              <w:right w:w="108" w:type="dxa"/>
            </w:tcMar>
            <w:vAlign w:val="center"/>
          </w:tcPr>
          <w:p>
            <w:pPr>
              <w:jc w:val="center"/>
            </w:pPr>
            <w:r>
              <w:t>员工</w:t>
            </w:r>
          </w:p>
        </w:tc>
        <w:tc>
          <w:tcPr>
            <w:tcW w:w="199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ind w:left="0" w:leftChars="0" w:firstLine="0" w:firstLineChars="0"/>
            </w:pPr>
            <w:r>
              <w:t>团队功能完备</w:t>
            </w:r>
          </w:p>
        </w:tc>
        <w:tc>
          <w:tcPr>
            <w:tcW w:w="2093"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ind w:left="0" w:leftChars="0" w:firstLine="0" w:firstLineChars="0"/>
            </w:pPr>
            <w:r>
              <w:t>团队人数上限为1 PM，1 BA，6个开发人员+ 3个测试人员</w:t>
            </w:r>
          </w:p>
        </w:tc>
        <w:tc>
          <w:tcPr>
            <w:tcW w:w="2608" w:type="dxa"/>
            <w:tcBorders>
              <w:top w:val="single" w:color="000000" w:sz="6" w:space="0"/>
              <w:left w:val="single" w:color="000000" w:sz="6" w:space="0"/>
              <w:bottom w:val="single" w:color="000000" w:sz="6" w:space="0"/>
              <w:right w:val="single" w:color="000000" w:sz="12" w:space="0"/>
            </w:tcBorders>
            <w:tcMar>
              <w:top w:w="0" w:type="dxa"/>
              <w:left w:w="108" w:type="dxa"/>
              <w:bottom w:w="0" w:type="dxa"/>
              <w:right w:w="108" w:type="dxa"/>
            </w:tcMar>
          </w:tcPr>
          <w:p>
            <w:pPr>
              <w:ind w:left="0" w:leftChars="0" w:firstLine="0" w:firstLineChars="0"/>
            </w:pPr>
            <w:r>
              <w:t>可准备备用人员</w:t>
            </w:r>
            <w:r>
              <w:rPr>
                <w:rFonts w:hint="eastAsia"/>
              </w:rPr>
              <w:t>，</w:t>
            </w:r>
            <w:r>
              <w:t>防止意外</w:t>
            </w:r>
            <w:r>
              <w:rPr>
                <w:rFonts w:hint="eastAsia"/>
              </w:rPr>
              <w:t>，</w:t>
            </w:r>
            <w:r>
              <w:t>定期进行团建</w:t>
            </w:r>
            <w:r>
              <w:rPr>
                <w:rFonts w:hint="eastAsia"/>
              </w:rPr>
              <w:t>。</w:t>
            </w:r>
          </w:p>
        </w:tc>
      </w:tr>
      <w:tr>
        <w:tblPrEx>
          <w:tblLayout w:type="fixed"/>
        </w:tblPrEx>
        <w:tc>
          <w:tcPr>
            <w:tcW w:w="1823" w:type="dxa"/>
            <w:tcBorders>
              <w:top w:val="single" w:color="000000" w:sz="6" w:space="0"/>
              <w:left w:val="single" w:color="000000" w:sz="12" w:space="0"/>
              <w:bottom w:val="single" w:color="000000" w:sz="12" w:space="0"/>
              <w:right w:val="single" w:color="000000" w:sz="6" w:space="0"/>
            </w:tcBorders>
            <w:tcMar>
              <w:top w:w="0" w:type="dxa"/>
              <w:left w:w="108" w:type="dxa"/>
              <w:bottom w:w="0" w:type="dxa"/>
              <w:right w:w="108" w:type="dxa"/>
            </w:tcMar>
            <w:vAlign w:val="center"/>
          </w:tcPr>
          <w:p>
            <w:pPr>
              <w:jc w:val="center"/>
            </w:pPr>
            <w:r>
              <w:t>成本</w:t>
            </w:r>
          </w:p>
        </w:tc>
        <w:tc>
          <w:tcPr>
            <w:tcW w:w="1998" w:type="dxa"/>
            <w:tcBorders>
              <w:top w:val="single" w:color="000000" w:sz="6" w:space="0"/>
              <w:left w:val="single" w:color="000000" w:sz="6" w:space="0"/>
              <w:bottom w:val="single" w:color="000000" w:sz="12" w:space="0"/>
              <w:right w:val="single" w:color="000000" w:sz="6" w:space="0"/>
            </w:tcBorders>
            <w:tcMar>
              <w:top w:w="0" w:type="dxa"/>
              <w:left w:w="108" w:type="dxa"/>
              <w:bottom w:w="0" w:type="dxa"/>
              <w:right w:w="108" w:type="dxa"/>
            </w:tcMar>
          </w:tcPr>
          <w:p>
            <w:pPr>
              <w:ind w:left="0" w:leftChars="0" w:firstLine="0" w:firstLineChars="0"/>
            </w:pPr>
            <w:r>
              <w:t>每周结算收支</w:t>
            </w:r>
          </w:p>
        </w:tc>
        <w:tc>
          <w:tcPr>
            <w:tcW w:w="2093" w:type="dxa"/>
            <w:tcBorders>
              <w:top w:val="single" w:color="000000" w:sz="6" w:space="0"/>
              <w:left w:val="single" w:color="000000" w:sz="6" w:space="0"/>
              <w:bottom w:val="single" w:color="000000" w:sz="12" w:space="0"/>
              <w:right w:val="single" w:color="000000" w:sz="6" w:space="0"/>
            </w:tcBorders>
            <w:tcMar>
              <w:top w:w="0" w:type="dxa"/>
              <w:left w:w="108" w:type="dxa"/>
              <w:bottom w:w="0" w:type="dxa"/>
              <w:right w:w="108" w:type="dxa"/>
            </w:tcMar>
          </w:tcPr>
          <w:p>
            <w:pPr>
              <w:ind w:left="0" w:leftChars="0" w:firstLine="0" w:firstLineChars="0"/>
            </w:pPr>
            <w:r>
              <w:t>严格按照项目预计开支进行</w:t>
            </w:r>
          </w:p>
        </w:tc>
        <w:tc>
          <w:tcPr>
            <w:tcW w:w="2608" w:type="dxa"/>
            <w:tcBorders>
              <w:top w:val="single" w:color="000000" w:sz="6" w:space="0"/>
              <w:left w:val="single" w:color="000000" w:sz="6" w:space="0"/>
              <w:bottom w:val="single" w:color="000000" w:sz="12" w:space="0"/>
              <w:right w:val="single" w:color="000000" w:sz="12" w:space="0"/>
            </w:tcBorders>
            <w:tcMar>
              <w:top w:w="0" w:type="dxa"/>
              <w:left w:w="108" w:type="dxa"/>
              <w:bottom w:w="0" w:type="dxa"/>
              <w:right w:w="108" w:type="dxa"/>
            </w:tcMar>
          </w:tcPr>
          <w:p>
            <w:pPr>
              <w:ind w:left="0" w:leftChars="0" w:firstLine="0" w:firstLineChars="0"/>
            </w:pPr>
            <w:r>
              <w:t>预算超支高达15％，无需赞助商审查</w:t>
            </w:r>
          </w:p>
        </w:tc>
      </w:tr>
    </w:tbl>
    <w:p/>
    <w:p>
      <w:pPr>
        <w:pStyle w:val="3"/>
      </w:pPr>
      <w:r>
        <w:t>3.3</w:t>
      </w:r>
      <w:bookmarkStart w:id="23" w:name="_Toc356192849"/>
      <w:r>
        <w:rPr>
          <w:rFonts w:hint="eastAsia"/>
        </w:rPr>
        <w:t xml:space="preserve"> </w:t>
      </w:r>
      <w:r>
        <w:t>部署注意事项     </w:t>
      </w:r>
      <w:bookmarkEnd w:id="23"/>
    </w:p>
    <w:p>
      <w:pPr>
        <w:numPr>
          <w:ilvl w:val="0"/>
          <w:numId w:val="11"/>
        </w:numPr>
        <w:ind w:left="420" w:leftChars="0" w:hanging="420" w:firstLineChars="0"/>
        <w:rPr>
          <w:rFonts w:hint="eastAsia"/>
        </w:rPr>
      </w:pPr>
      <w:r>
        <w:rPr>
          <w:rFonts w:hint="eastAsia"/>
        </w:rPr>
        <w:t>小组成员工作中要做好检查工作，同时，组长要进行总体的检查。</w:t>
      </w:r>
    </w:p>
    <w:p>
      <w:pPr>
        <w:numPr>
          <w:ilvl w:val="0"/>
          <w:numId w:val="11"/>
        </w:numPr>
        <w:ind w:left="420" w:leftChars="0" w:hanging="420" w:firstLineChars="0"/>
      </w:pPr>
      <w:r>
        <w:rPr>
          <w:rFonts w:hint="eastAsia"/>
        </w:rPr>
        <w:t>定期要开展小组的会议，进行工作的汇报，交流反思。</w:t>
      </w:r>
    </w:p>
    <w:p>
      <w:pPr>
        <w:numPr>
          <w:ilvl w:val="0"/>
          <w:numId w:val="11"/>
        </w:numPr>
        <w:ind w:left="420" w:leftChars="0" w:hanging="420" w:firstLineChars="0"/>
        <w:rPr>
          <w:rFonts w:hint="eastAsia"/>
        </w:rPr>
      </w:pPr>
      <w:r>
        <w:rPr>
          <w:rFonts w:hint="eastAsia"/>
        </w:rPr>
        <w:t>用户在使用时，可以彼此靠近，也可以在</w:t>
      </w:r>
      <w:r>
        <w:t>多个时区</w:t>
      </w:r>
      <w:r>
        <w:rPr>
          <w:rFonts w:hint="eastAsia"/>
        </w:rPr>
        <w:t>。</w:t>
      </w:r>
    </w:p>
    <w:p>
      <w:pPr>
        <w:numPr>
          <w:ilvl w:val="0"/>
          <w:numId w:val="11"/>
        </w:numPr>
        <w:ind w:left="420" w:leftChars="0" w:hanging="420" w:firstLineChars="0"/>
        <w:rPr>
          <w:rFonts w:hint="eastAsia"/>
        </w:rPr>
      </w:pPr>
      <w:r>
        <w:t>基础架构应支持软件对容量，网络访问，数据存储或数据迁移的需求</w:t>
      </w:r>
      <w:r>
        <w:rPr>
          <w:rFonts w:hint="eastAsia"/>
        </w:rPr>
        <w:t>。</w:t>
      </w:r>
    </w:p>
    <w:p>
      <w:pPr>
        <w:numPr>
          <w:ilvl w:val="0"/>
          <w:numId w:val="11"/>
        </w:numPr>
        <w:ind w:left="420" w:leftChars="0" w:hanging="420" w:firstLineChars="0"/>
        <w:rPr>
          <w:rFonts w:hint="eastAsia"/>
        </w:rPr>
      </w:pPr>
      <w:r>
        <w:t>记录准备培训或修改业务流程以及部署新解决方案的人员所需要的任何信息。</w:t>
      </w:r>
    </w:p>
    <w:p>
      <w:pPr>
        <w:numPr>
          <w:ilvl w:val="0"/>
          <w:numId w:val="11"/>
        </w:numPr>
        <w:ind w:left="420" w:leftChars="0" w:hanging="420" w:firstLineChars="0"/>
        <w:rPr>
          <w:rFonts w:hint="eastAsia"/>
        </w:rPr>
      </w:pPr>
      <w:r>
        <w:t>应该严格依照规划的安排来进行项目的进程</w:t>
      </w:r>
      <w:r>
        <w:rPr>
          <w:rFonts w:hint="eastAsia"/>
        </w:rPr>
        <w:t>，</w:t>
      </w:r>
      <w:r>
        <w:t>并且保存相关的文件信息</w:t>
      </w:r>
      <w:r>
        <w:rPr>
          <w:rFonts w:hint="eastAsia"/>
        </w:rPr>
        <w:t>，记录小组会议，保存每次修改的信息，定期进行评审。</w:t>
      </w:r>
    </w:p>
    <w:p>
      <w:pPr>
        <w:numPr>
          <w:ilvl w:val="0"/>
          <w:numId w:val="11"/>
        </w:numPr>
        <w:ind w:left="420" w:leftChars="0" w:hanging="420" w:firstLineChars="0"/>
        <w:rPr>
          <w:rFonts w:eastAsiaTheme="minorHAnsi"/>
          <w:b/>
          <w:szCs w:val="24"/>
        </w:rPr>
      </w:pPr>
      <w:r>
        <w:rPr>
          <w:rFonts w:hint="eastAsia"/>
        </w:rPr>
        <w:t>每周进行收支的结算。</w:t>
      </w:r>
    </w:p>
    <w:p>
      <w:pPr>
        <w:pStyle w:val="3"/>
        <w:rPr>
          <w:rFonts w:hint="eastAsia" w:ascii="微软雅黑" w:hAnsi="微软雅黑" w:eastAsia="微软雅黑" w:cs="宋体"/>
          <w:color w:val="000000"/>
          <w:kern w:val="0"/>
          <w:sz w:val="27"/>
          <w:szCs w:val="27"/>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2">
    <w:panose1 w:val="05020102010507070707"/>
    <w:charset w:val="02"/>
    <w:family w:val="decorative"/>
    <w:pitch w:val="default"/>
    <w:sig w:usb0="00000000" w:usb1="00000000" w:usb2="00000000" w:usb3="00000000" w:csb0="80000000" w:csb1="00000000"/>
  </w:font>
  <w:font w:name="Heiti SC Medium">
    <w:altName w:val="冬青黑体简体中文"/>
    <w:panose1 w:val="00000000000000000000"/>
    <w:charset w:val="80"/>
    <w:family w:val="auto"/>
    <w:pitch w:val="default"/>
    <w:sig w:usb0="00000000" w:usb1="00000000" w:usb2="00000010" w:usb3="00000000" w:csb0="003E0001" w:csb1="00000000"/>
  </w:font>
  <w:font w:name="华文细黑">
    <w:altName w:val="黑体-简"/>
    <w:panose1 w:val="02010600040101010101"/>
    <w:charset w:val="86"/>
    <w:family w:val="auto"/>
    <w:pitch w:val="default"/>
    <w:sig w:usb0="00000000" w:usb1="00000000" w:usb2="00000010" w:usb3="00000000" w:csb0="0004009F" w:csb1="00000000"/>
  </w:font>
  <w:font w:name="Microsoft JhengHei UI Light">
    <w:altName w:val="苹方-简"/>
    <w:panose1 w:val="020B0304030504040204"/>
    <w:charset w:val="88"/>
    <w:family w:val="swiss"/>
    <w:pitch w:val="default"/>
    <w:sig w:usb0="00000000" w:usb1="00000000" w:usb2="00000016" w:usb3="00000000" w:csb0="00100009"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auto"/>
    <w:pitch w:val="default"/>
    <w:sig w:usb0="A00002BF" w:usb1="1ACF7CFA" w:usb2="00000016" w:usb3="00000000" w:csb0="00060007" w:csb1="00000000"/>
  </w:font>
  <w:font w:name="苹方-简">
    <w:panose1 w:val="020B0400000000000000"/>
    <w:charset w:val="88"/>
    <w:family w:val="swiss"/>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汉仪中等线KW">
    <w:panose1 w:val="01010104010101010101"/>
    <w:charset w:val="86"/>
    <w:family w:val="auto"/>
    <w:pitch w:val="default"/>
    <w:sig w:usb0="800002BF" w:usb1="004F7CFA" w:usb2="00000000" w:usb3="00000000" w:csb0="00040001" w:csb1="00000000"/>
  </w:font>
  <w:font w:name="兰亭黑-简">
    <w:panose1 w:val="02000000000000000000"/>
    <w:charset w:val="86"/>
    <w:family w:val="auto"/>
    <w:pitch w:val="default"/>
    <w:sig w:usb0="00000001" w:usb1="0800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楷体-简">
    <w:panose1 w:val="02010600040101010101"/>
    <w:charset w:val="86"/>
    <w:family w:val="auto"/>
    <w:pitch w:val="default"/>
    <w:sig w:usb0="80000287" w:usb1="280F3C52" w:usb2="00000016" w:usb3="00000000" w:csb0="0004001F" w:csb1="00000000"/>
  </w:font>
  <w:font w:name="微软雅黑">
    <w:altName w:val="汉仪旗黑KW"/>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jc w:val="both"/>
      <w:rPr>
        <w:rFonts w:hint="eastAsia" w:ascii="华文细黑" w:hAnsi="华文细黑"/>
      </w:rPr>
    </w:pPr>
    <w:r>
      <w:rPr>
        <w:rFonts w:hint="eastAsia" w:ascii="Microsoft JhengHei UI Light" w:hAnsi="Microsoft JhengHei UI Light" w:eastAsia="Microsoft JhengHei UI Light" w:cs="Microsoft JhengHei UI Light"/>
      </w:rPr>
      <w:t>PRD-G10 案例教学系统AP</w:t>
    </w:r>
    <w:r>
      <w:rPr>
        <w:rFonts w:ascii="Microsoft JhengHei UI Light" w:hAnsi="Microsoft JhengHei UI Light" w:eastAsia="Microsoft JhengHei UI Light" w:cs="Microsoft JhengHei UI Light"/>
      </w:rPr>
      <w:t xml:space="preserve">P                                                        </w:t>
    </w:r>
    <w:r>
      <w:drawing>
        <wp:inline distT="0" distB="0" distL="0" distR="0">
          <wp:extent cx="594360" cy="594360"/>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 cy="5943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34ADED"/>
    <w:multiLevelType w:val="singleLevel"/>
    <w:tmpl w:val="E134ADED"/>
    <w:lvl w:ilvl="0" w:tentative="0">
      <w:start w:val="1"/>
      <w:numFmt w:val="decimal"/>
      <w:lvlText w:val="%1."/>
      <w:lvlJc w:val="left"/>
      <w:pPr>
        <w:tabs>
          <w:tab w:val="left" w:pos="312"/>
        </w:tabs>
      </w:pPr>
    </w:lvl>
  </w:abstractNum>
  <w:abstractNum w:abstractNumId="1">
    <w:nsid w:val="054856E2"/>
    <w:multiLevelType w:val="multilevel"/>
    <w:tmpl w:val="054856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C1F3416"/>
    <w:multiLevelType w:val="multilevel"/>
    <w:tmpl w:val="0C1F34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E2C1C24"/>
    <w:multiLevelType w:val="multilevel"/>
    <w:tmpl w:val="2E2C1C2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3684CAE"/>
    <w:multiLevelType w:val="multilevel"/>
    <w:tmpl w:val="33684C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FD33F19"/>
    <w:multiLevelType w:val="multilevel"/>
    <w:tmpl w:val="3FD33F1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075045"/>
    <w:multiLevelType w:val="multilevel"/>
    <w:tmpl w:val="4607504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4017AE0"/>
    <w:multiLevelType w:val="multilevel"/>
    <w:tmpl w:val="54017A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82426CA"/>
    <w:multiLevelType w:val="multilevel"/>
    <w:tmpl w:val="582426C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67F568E"/>
    <w:multiLevelType w:val="multilevel"/>
    <w:tmpl w:val="667F56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2724329"/>
    <w:multiLevelType w:val="multilevel"/>
    <w:tmpl w:val="7272432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6"/>
  </w:num>
  <w:num w:numId="3">
    <w:abstractNumId w:val="10"/>
  </w:num>
  <w:num w:numId="4">
    <w:abstractNumId w:val="7"/>
  </w:num>
  <w:num w:numId="5">
    <w:abstractNumId w:val="9"/>
  </w:num>
  <w:num w:numId="6">
    <w:abstractNumId w:val="5"/>
  </w:num>
  <w:num w:numId="7">
    <w:abstractNumId w:val="3"/>
  </w:num>
  <w:num w:numId="8">
    <w:abstractNumId w:val="4"/>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0F"/>
    <w:rsid w:val="00005AF0"/>
    <w:rsid w:val="000275B2"/>
    <w:rsid w:val="0005580D"/>
    <w:rsid w:val="00150089"/>
    <w:rsid w:val="001B1E38"/>
    <w:rsid w:val="00265768"/>
    <w:rsid w:val="00285CBF"/>
    <w:rsid w:val="002958D7"/>
    <w:rsid w:val="00341020"/>
    <w:rsid w:val="00343249"/>
    <w:rsid w:val="00364D96"/>
    <w:rsid w:val="003912A9"/>
    <w:rsid w:val="003D0F66"/>
    <w:rsid w:val="003D77F7"/>
    <w:rsid w:val="004B0B93"/>
    <w:rsid w:val="004E06B6"/>
    <w:rsid w:val="005058C7"/>
    <w:rsid w:val="005317E4"/>
    <w:rsid w:val="00606468"/>
    <w:rsid w:val="00650450"/>
    <w:rsid w:val="00651452"/>
    <w:rsid w:val="00787122"/>
    <w:rsid w:val="007D3897"/>
    <w:rsid w:val="009545B4"/>
    <w:rsid w:val="00962395"/>
    <w:rsid w:val="00967EA1"/>
    <w:rsid w:val="009C090F"/>
    <w:rsid w:val="009F31EA"/>
    <w:rsid w:val="00AC5B24"/>
    <w:rsid w:val="00B171DE"/>
    <w:rsid w:val="00B85C53"/>
    <w:rsid w:val="00BA185A"/>
    <w:rsid w:val="00C610E6"/>
    <w:rsid w:val="00D92FFC"/>
    <w:rsid w:val="00E82C30"/>
    <w:rsid w:val="00EB4B90"/>
    <w:rsid w:val="00ED63BD"/>
    <w:rsid w:val="00F216C2"/>
    <w:rsid w:val="00F40547"/>
    <w:rsid w:val="1FD32760"/>
    <w:rsid w:val="5FFDFCF4"/>
    <w:rsid w:val="6D3EA519"/>
    <w:rsid w:val="776FEFE2"/>
    <w:rsid w:val="7F4BED3D"/>
    <w:rsid w:val="7FF97023"/>
    <w:rsid w:val="BF6F8FBC"/>
    <w:rsid w:val="EFDFA1A2"/>
    <w:rsid w:val="F3D70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1441" w:firstLineChars="200"/>
      <w:jc w:val="both"/>
    </w:pPr>
    <w:rPr>
      <w:rFonts w:eastAsia="宋体" w:asciiTheme="minorAscii" w:hAnsiTheme="minorAscii" w:cstheme="minorBidi"/>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ind w:firstLine="0" w:firstLineChars="0"/>
      <w:jc w:val="left"/>
      <w:outlineLvl w:val="0"/>
    </w:pPr>
    <w:rPr>
      <w:rFonts w:ascii="宋体" w:hAnsi="宋体" w:cs="宋体"/>
      <w:b/>
      <w:bCs/>
      <w:kern w:val="36"/>
      <w:sz w:val="44"/>
      <w:szCs w:val="48"/>
    </w:rPr>
  </w:style>
  <w:style w:type="paragraph" w:styleId="3">
    <w:name w:val="heading 2"/>
    <w:basedOn w:val="1"/>
    <w:next w:val="1"/>
    <w:link w:val="13"/>
    <w:qFormat/>
    <w:uiPriority w:val="9"/>
    <w:pPr>
      <w:widowControl/>
      <w:spacing w:before="100" w:beforeAutospacing="1" w:after="100" w:afterAutospacing="1"/>
      <w:ind w:firstLine="0" w:firstLineChars="0"/>
      <w:jc w:val="left"/>
      <w:outlineLvl w:val="1"/>
    </w:pPr>
    <w:rPr>
      <w:rFonts w:ascii="宋体" w:hAnsi="宋体" w:eastAsia="黑体" w:cs="宋体"/>
      <w:b/>
      <w:bCs/>
      <w:kern w:val="0"/>
      <w:sz w:val="32"/>
      <w:szCs w:val="36"/>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Plain Text"/>
    <w:basedOn w:val="1"/>
    <w:link w:val="20"/>
    <w:semiHidden/>
    <w:qFormat/>
    <w:uiPriority w:val="0"/>
    <w:pPr>
      <w:spacing w:line="240" w:lineRule="auto"/>
      <w:ind w:firstLine="0" w:firstLineChars="0"/>
    </w:pPr>
    <w:rPr>
      <w:rFonts w:ascii="宋体" w:hAnsi="Courier New" w:cs="Times New Roman"/>
      <w:szCs w:val="20"/>
    </w:rPr>
  </w:style>
  <w:style w:type="paragraph" w:styleId="5">
    <w:name w:val="footer"/>
    <w:basedOn w:val="1"/>
    <w:link w:val="18"/>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qFormat/>
    <w:uiPriority w:val="39"/>
    <w:pPr>
      <w:widowControl/>
      <w:tabs>
        <w:tab w:val="right" w:leader="dot" w:pos="8296"/>
      </w:tabs>
      <w:spacing w:line="240" w:lineRule="auto"/>
      <w:ind w:firstLine="105" w:firstLineChars="50"/>
      <w:jc w:val="center"/>
    </w:pPr>
    <w:rPr>
      <w:rFonts w:ascii="宋体-简" w:hAnsi="宋体-简" w:cs="宋体-简" w:eastAsiaTheme="minorEastAsia"/>
      <w:bCs/>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9">
    <w:name w:val="Title"/>
    <w:basedOn w:val="1"/>
    <w:next w:val="1"/>
    <w:link w:val="16"/>
    <w:qFormat/>
    <w:uiPriority w:val="0"/>
    <w:pPr>
      <w:widowControl/>
      <w:spacing w:before="240" w:after="60" w:line="240" w:lineRule="auto"/>
      <w:jc w:val="center"/>
      <w:outlineLvl w:val="0"/>
    </w:pPr>
    <w:rPr>
      <w:rFonts w:ascii="Cambria" w:hAnsi="Cambria" w:cs="宋体-简" w:eastAsiaTheme="minorEastAsia"/>
      <w:b/>
      <w:bCs/>
      <w:sz w:val="32"/>
      <w:szCs w:val="32"/>
    </w:rPr>
  </w:style>
  <w:style w:type="character" w:customStyle="1" w:styleId="12">
    <w:name w:val="标题 1 字符"/>
    <w:basedOn w:val="10"/>
    <w:link w:val="2"/>
    <w:qFormat/>
    <w:uiPriority w:val="9"/>
    <w:rPr>
      <w:rFonts w:ascii="宋体" w:hAnsi="宋体" w:eastAsia="宋体" w:cs="宋体"/>
      <w:b/>
      <w:bCs/>
      <w:kern w:val="36"/>
      <w:sz w:val="44"/>
      <w:szCs w:val="48"/>
    </w:rPr>
  </w:style>
  <w:style w:type="character" w:customStyle="1" w:styleId="13">
    <w:name w:val="标题 2 字符"/>
    <w:basedOn w:val="10"/>
    <w:link w:val="3"/>
    <w:qFormat/>
    <w:uiPriority w:val="9"/>
    <w:rPr>
      <w:rFonts w:ascii="宋体" w:hAnsi="宋体" w:eastAsia="黑体" w:cs="宋体"/>
      <w:b/>
      <w:bCs/>
      <w:kern w:val="0"/>
      <w:sz w:val="32"/>
      <w:szCs w:val="36"/>
    </w:rPr>
  </w:style>
  <w:style w:type="paragraph" w:customStyle="1" w:styleId="14">
    <w:name w:val="列出段落1"/>
    <w:basedOn w:val="1"/>
    <w:qFormat/>
    <w:uiPriority w:val="34"/>
    <w:pPr>
      <w:widowControl/>
      <w:spacing w:line="240" w:lineRule="auto"/>
      <w:ind w:firstLine="420"/>
    </w:pPr>
    <w:rPr>
      <w:rFonts w:ascii="宋体-简" w:hAnsi="宋体-简" w:cs="宋体-简" w:eastAsiaTheme="minorEastAsia"/>
      <w:bCs/>
      <w:szCs w:val="32"/>
    </w:rPr>
  </w:style>
  <w:style w:type="paragraph" w:customStyle="1" w:styleId="15">
    <w:name w:val="List Paragraph"/>
    <w:basedOn w:val="1"/>
    <w:qFormat/>
    <w:uiPriority w:val="34"/>
    <w:pPr>
      <w:ind w:firstLine="420"/>
    </w:pPr>
  </w:style>
  <w:style w:type="character" w:customStyle="1" w:styleId="16">
    <w:name w:val="标题 字符"/>
    <w:basedOn w:val="10"/>
    <w:link w:val="9"/>
    <w:qFormat/>
    <w:uiPriority w:val="0"/>
    <w:rPr>
      <w:rFonts w:ascii="Cambria" w:hAnsi="Cambria" w:cs="宋体-简"/>
      <w:b/>
      <w:bCs/>
      <w:sz w:val="32"/>
      <w:szCs w:val="32"/>
    </w:rPr>
  </w:style>
  <w:style w:type="character" w:customStyle="1" w:styleId="17">
    <w:name w:val="页眉 字符"/>
    <w:basedOn w:val="10"/>
    <w:link w:val="6"/>
    <w:qFormat/>
    <w:uiPriority w:val="99"/>
    <w:rPr>
      <w:rFonts w:eastAsia="宋体"/>
      <w:sz w:val="18"/>
      <w:szCs w:val="18"/>
    </w:rPr>
  </w:style>
  <w:style w:type="character" w:customStyle="1" w:styleId="18">
    <w:name w:val="页脚 字符"/>
    <w:basedOn w:val="10"/>
    <w:link w:val="5"/>
    <w:qFormat/>
    <w:uiPriority w:val="99"/>
    <w:rPr>
      <w:rFonts w:eastAsia="宋体"/>
      <w:sz w:val="18"/>
      <w:szCs w:val="18"/>
    </w:rPr>
  </w:style>
  <w:style w:type="character" w:customStyle="1" w:styleId="19">
    <w:name w:val="纯文本 字符"/>
    <w:basedOn w:val="10"/>
    <w:semiHidden/>
    <w:qFormat/>
    <w:uiPriority w:val="99"/>
    <w:rPr>
      <w:rFonts w:hAnsi="Courier New" w:cs="Courier New" w:asciiTheme="minorEastAsia"/>
    </w:rPr>
  </w:style>
  <w:style w:type="character" w:customStyle="1" w:styleId="20">
    <w:name w:val="纯文本 字符1"/>
    <w:link w:val="4"/>
    <w:semiHidden/>
    <w:qFormat/>
    <w:uiPriority w:val="0"/>
    <w:rPr>
      <w:rFonts w:ascii="宋体" w:hAnsi="Courier New"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706</Words>
  <Characters>4030</Characters>
  <Lines>33</Lines>
  <Paragraphs>9</Paragraphs>
  <TotalTime>0</TotalTime>
  <ScaleCrop>false</ScaleCrop>
  <LinksUpToDate>false</LinksUpToDate>
  <CharactersWithSpaces>4727</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2019-10-26T14:03:00Z</dcterms:created>
  <dc:creator>黄 寅佐</dc:creator>
  <cp:lastModifiedBy>guoqs</cp:lastModifiedBy>
  <dcterms:modified xsi:type="dcterms:W3CDTF">2019-11-03T20:30:06Z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