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8"/>
        </w:rPr>
        <w:t>CỘNG HÒA XÃ HỘI CHỦ NGHĨA VIỆT NAM</w:t>
      </w:r>
    </w:p>
    <w:p>
      <w:pPr>
        <w:spacing w:before="0" w:after="40"/>
        <w:jc w:val="center"/>
      </w:pPr>
      <w:r>
        <w:rPr>
          <w:rFonts w:ascii="Times New Roman" w:hAnsi="Times New Roman"/>
          <w:b/>
          <w:i w:val="0"/>
          <w:sz w:val="26"/>
        </w:rPr>
        <w:t>Độc lập – Tự do – Hạnh phúc</w:t>
      </w:r>
    </w:p>
    <w:p>
      <w:pPr>
        <w:spacing w:before="0" w:after="200"/>
        <w:jc w:val="center"/>
      </w:pPr>
      <w:r>
        <w:rPr>
          <w:rFonts w:ascii="Times New Roman" w:hAnsi="Times New Roman"/>
          <w:b w:val="0"/>
          <w:i w:val="0"/>
          <w:sz w:val="24"/>
        </w:rPr>
        <w:t>---o0o---</w:t>
      </w:r>
    </w:p>
    <w:p>
      <w:pPr>
        <w:spacing w:before="0" w:after="40"/>
        <w:jc w:val="center"/>
      </w:pPr>
      <w:r>
        <w:rPr>
          <w:rFonts w:ascii="Times New Roman" w:hAnsi="Times New Roman"/>
          <w:b/>
          <w:i w:val="0"/>
          <w:sz w:val="30"/>
        </w:rPr>
        <w:t>HỢP ĐỒNG MUA BÁN HÀNG HÓA</w:t>
      </w:r>
    </w:p>
    <w:p>
      <w:pPr>
        <w:spacing w:before="0" w:after="200"/>
        <w:jc w:val="center"/>
      </w:pPr>
      <w:r>
        <w:rPr>
          <w:rFonts w:ascii="Times New Roman" w:hAnsi="Times New Roman"/>
          <w:b/>
          <w:i w:val="0"/>
          <w:sz w:val="26"/>
        </w:rPr>
        <w:t>Số: 01/2026/HDMB</w:t>
      </w:r>
    </w:p>
    <w:p>
      <w:pPr>
        <w:spacing w:before="0" w:after="40"/>
        <w:jc w:val="left"/>
      </w:pPr>
      <w:r>
        <w:rPr>
          <w:rFonts w:ascii="Times New Roman" w:hAnsi="Times New Roman"/>
          <w:b w:val="0"/>
          <w:i w:val="0"/>
          <w:sz w:val="26"/>
        </w:rPr>
        <w:t>- Căn cứ Bộ luật Dân sự số 91/2015/QH13 ngày 24/11/2015 và các văn bản pháp luật liên quan;</w:t>
      </w:r>
    </w:p>
    <w:p>
      <w:pPr>
        <w:spacing w:before="0" w:after="40"/>
        <w:jc w:val="left"/>
      </w:pPr>
      <w:r>
        <w:rPr>
          <w:rFonts w:ascii="Times New Roman" w:hAnsi="Times New Roman"/>
          <w:b w:val="0"/>
          <w:i w:val="0"/>
          <w:sz w:val="26"/>
        </w:rPr>
        <w:t>- Căn cứ Luật Thương mại số 36/2005/QH11 ngày 14/06/2005 và các văn bản pháp luật liên quan;</w:t>
      </w:r>
    </w:p>
    <w:p>
      <w:pPr>
        <w:spacing w:before="0" w:after="40"/>
        <w:jc w:val="left"/>
      </w:pPr>
      <w:r>
        <w:rPr>
          <w:rFonts w:ascii="Times New Roman" w:hAnsi="Times New Roman"/>
          <w:b w:val="0"/>
          <w:i w:val="0"/>
          <w:sz w:val="26"/>
        </w:rPr>
        <w:t>- Căn cứ vào nhu cầu và khả năng của các bên;</w:t>
      </w:r>
    </w:p>
    <w:p>
      <w:pPr>
        <w:spacing w:before="0" w:after="160"/>
        <w:jc w:val="left"/>
      </w:pPr>
      <w:r>
        <w:rPr>
          <w:rFonts w:ascii="Times New Roman" w:hAnsi="Times New Roman"/>
          <w:b w:val="0"/>
          <w:i w:val="0"/>
          <w:sz w:val="26"/>
        </w:rPr>
        <w:br/>
        <w:t>Hôm nay, ngày 17 tháng 3 năm 2026, chúng tôi gồm có:</w:t>
      </w:r>
    </w:p>
    <w:p>
      <w:pPr>
        <w:spacing w:before="0" w:after="40"/>
        <w:jc w:val="left"/>
      </w:pPr>
      <w:r>
        <w:rPr>
          <w:rFonts w:ascii="Times New Roman" w:hAnsi="Times New Roman"/>
          <w:b/>
          <w:i w:val="0"/>
          <w:sz w:val="26"/>
        </w:rPr>
        <w:t>BÊN BÁN ("BÊN A"): CÔNG TY TNHH THƯƠNG MẠI VÀ CÔNG NGHỆ HAPPY SMART LIGHT.</w:t>
      </w:r>
    </w:p>
    <w:p>
      <w:pPr>
        <w:spacing w:before="0" w:after="40"/>
        <w:jc w:val="left"/>
      </w:pPr>
      <w:r>
        <w:rPr>
          <w:rFonts w:ascii="Times New Roman" w:hAnsi="Times New Roman"/>
          <w:b w:val="0"/>
          <w:i w:val="0"/>
          <w:sz w:val="26"/>
        </w:rPr>
        <w:t>Địa chỉ</w:t>
        <w:tab/>
        <w:tab/>
        <w:t>: 42 Hà Đức Trọng, Phường Bà Rịa, Thành phố Hồ Chí Minh</w:t>
      </w:r>
    </w:p>
    <w:p>
      <w:pPr>
        <w:spacing w:before="0" w:after="40"/>
        <w:jc w:val="left"/>
      </w:pPr>
      <w:r>
        <w:rPr>
          <w:rFonts w:ascii="Times New Roman" w:hAnsi="Times New Roman"/>
          <w:b w:val="0"/>
          <w:i w:val="0"/>
          <w:sz w:val="26"/>
        </w:rPr>
        <w:t>Mã số thuế</w:t>
        <w:tab/>
        <w:t>: 3502535621</w:t>
      </w:r>
    </w:p>
    <w:p>
      <w:pPr>
        <w:spacing w:before="0" w:after="200"/>
        <w:jc w:val="left"/>
      </w:pPr>
      <w:r>
        <w:rPr>
          <w:rFonts w:ascii="Times New Roman" w:hAnsi="Times New Roman"/>
          <w:b w:val="0"/>
          <w:i w:val="0"/>
          <w:sz w:val="26"/>
        </w:rPr>
        <w:t>Đại diện</w:t>
        <w:tab/>
        <w:t>: Ông NGUYỄN DUY BẰNG</w:t>
        <w:tab/>
        <w:tab/>
        <w:tab/>
        <w:t>Chức vụ : Giám đốc.</w:t>
      </w:r>
    </w:p>
    <w:p>
      <w:pPr>
        <w:spacing w:before="0" w:after="40"/>
        <w:jc w:val="left"/>
      </w:pPr>
      <w:r>
        <w:rPr>
          <w:rFonts w:ascii="Times New Roman" w:hAnsi="Times New Roman"/>
          <w:b/>
          <w:i w:val="0"/>
          <w:sz w:val="26"/>
        </w:rPr>
        <w:t>BÊN MUA ("BÊN B"): CÔNG TY TNHH SỨC SỐNG ENTERTAINMENT</w:t>
      </w:r>
    </w:p>
    <w:p>
      <w:pPr>
        <w:spacing w:before="0" w:after="40"/>
        <w:jc w:val="left"/>
      </w:pPr>
      <w:r>
        <w:rPr>
          <w:rFonts w:ascii="Times New Roman" w:hAnsi="Times New Roman"/>
          <w:b w:val="0"/>
          <w:i w:val="0"/>
          <w:sz w:val="26"/>
        </w:rPr>
        <w:t>Địa chỉ</w:t>
        <w:tab/>
        <w:tab/>
        <w:t>: 1073/22 Cách Mạng Tháng 8, Phường Tân Sơn Nhất, Thành phố Hồ Chí Minh, Việt Nam</w:t>
      </w:r>
    </w:p>
    <w:p>
      <w:pPr>
        <w:spacing w:before="0" w:after="40"/>
        <w:jc w:val="left"/>
      </w:pPr>
      <w:r>
        <w:rPr>
          <w:rFonts w:ascii="Times New Roman" w:hAnsi="Times New Roman"/>
          <w:b w:val="0"/>
          <w:i w:val="0"/>
          <w:sz w:val="26"/>
        </w:rPr>
        <w:t xml:space="preserve">Mã số thuế </w:t>
        <w:tab/>
        <w:t>: 0318180604</w:t>
      </w:r>
    </w:p>
    <w:p>
      <w:pPr>
        <w:spacing w:before="0" w:after="200"/>
        <w:jc w:val="left"/>
      </w:pPr>
      <w:r>
        <w:rPr>
          <w:rFonts w:ascii="Times New Roman" w:hAnsi="Times New Roman"/>
          <w:b w:val="0"/>
          <w:i w:val="0"/>
          <w:sz w:val="26"/>
        </w:rPr>
        <w:t xml:space="preserve">Đại diện </w:t>
        <w:tab/>
        <w:t>: Ông Nguyễn Văn A</w:t>
        <w:tab/>
        <w:tab/>
        <w:tab/>
        <w:t>Chức vụ  : Giám đốc.</w:t>
      </w:r>
    </w:p>
    <w:p>
      <w:pPr>
        <w:spacing w:before="0" w:after="200"/>
        <w:jc w:val="left"/>
      </w:pPr>
      <w:r>
        <w:rPr>
          <w:rFonts w:ascii="Times New Roman" w:hAnsi="Times New Roman"/>
          <w:b w:val="0"/>
          <w:i w:val="0"/>
          <w:sz w:val="26"/>
        </w:rPr>
        <w:t>Trên cơ sở thỏa thuận, hai bên thống nhất ký kết hợp đồng mua bán hàng hóa với các điều khoản sau đây:</w:t>
      </w:r>
    </w:p>
    <w:p>
      <w:pPr>
        <w:spacing w:before="0" w:after="40"/>
        <w:jc w:val="center"/>
      </w:pPr>
      <w:r>
        <w:rPr>
          <w:rFonts w:ascii="Times New Roman" w:hAnsi="Times New Roman"/>
          <w:b/>
          <w:i w:val="0"/>
          <w:sz w:val="26"/>
        </w:rPr>
        <w:t>ĐIỀU 1. TÊN HÀNG - SỐ LƯỢNG - GIÁ TRỊ HỢP ĐỒNG</w:t>
      </w:r>
    </w:p>
    <w:p>
      <w:pPr>
        <w:spacing w:before="0" w:after="80"/>
        <w:jc w:val="right"/>
      </w:pPr>
      <w:r>
        <w:rPr>
          <w:rFonts w:ascii="Times New Roman" w:hAnsi="Times New Roman"/>
          <w:b w:val="0"/>
          <w:i/>
          <w:sz w:val="22"/>
        </w:rPr>
        <w:t>Đơn vị tính: Việt Nam đồng</w:t>
      </w:r>
    </w:p>
    <w:tbl>
      <w:tblPr>
        <w:tblStyle w:val="TableGrid"/>
        <w:tblW w:type="auto" w:w="0"/>
        <w:jc w:val="center"/>
        <w:tblLook w:firstColumn="1" w:firstRow="1" w:lastColumn="0" w:lastRow="0" w:noHBand="0" w:noVBand="1" w:val="04A0"/>
        <w:tblW w:w="9828" w:type="dxa"/>
      </w:tblPr>
      <w:tblGrid>
        <w:gridCol w:w="1039"/>
        <w:gridCol w:w="1039"/>
        <w:gridCol w:w="1039"/>
        <w:gridCol w:w="1039"/>
        <w:gridCol w:w="1039"/>
        <w:gridCol w:w="1039"/>
        <w:gridCol w:w="1039"/>
        <w:gridCol w:w="1039"/>
        <w:gridCol w:w="1039"/>
      </w:tblGrid>
      <w:tr>
        <w:tc>
          <w:tcPr>
            <w:tcW w:type="dxa" w:w="1039"/>
            <w:tcW w:w="504" w:type="dxa"/>
            <w:shd w:val="clear" w:color="auto" w:fill="D9E1F2"/>
          </w:tcPr>
          <w:p>
            <w:pPr>
              <w:spacing w:before="0" w:after="0"/>
              <w:jc w:val="center"/>
            </w:pPr>
            <w:r/>
            <w:r>
              <w:rPr>
                <w:rFonts w:ascii="Times New Roman" w:hAnsi="Times New Roman"/>
                <w:b/>
                <w:i w:val="0"/>
                <w:sz w:val="20"/>
              </w:rPr>
              <w:t>STT</w:t>
            </w:r>
          </w:p>
        </w:tc>
        <w:tc>
          <w:tcPr>
            <w:tcW w:type="dxa" w:w="1039"/>
            <w:tcW w:w="3276" w:type="dxa"/>
            <w:shd w:val="clear" w:color="auto" w:fill="D9E1F2"/>
          </w:tcPr>
          <w:p>
            <w:pPr>
              <w:spacing w:before="0" w:after="0"/>
              <w:jc w:val="center"/>
            </w:pPr>
            <w:r/>
            <w:r>
              <w:rPr>
                <w:rFonts w:ascii="Times New Roman" w:hAnsi="Times New Roman"/>
                <w:b/>
                <w:i w:val="0"/>
                <w:sz w:val="20"/>
              </w:rPr>
              <w:t>Tên hàng hóa, dịch vụ</w:t>
            </w:r>
          </w:p>
        </w:tc>
        <w:tc>
          <w:tcPr>
            <w:tcW w:type="dxa" w:w="1039"/>
            <w:tcW w:w="576" w:type="dxa"/>
            <w:shd w:val="clear" w:color="auto" w:fill="D9E1F2"/>
          </w:tcPr>
          <w:p>
            <w:pPr>
              <w:spacing w:before="0" w:after="0"/>
              <w:jc w:val="center"/>
            </w:pPr>
            <w:r/>
            <w:r>
              <w:rPr>
                <w:rFonts w:ascii="Times New Roman" w:hAnsi="Times New Roman"/>
                <w:b/>
                <w:i w:val="0"/>
                <w:sz w:val="20"/>
              </w:rPr>
              <w:t>ĐVT</w:t>
            </w:r>
          </w:p>
        </w:tc>
        <w:tc>
          <w:tcPr>
            <w:tcW w:type="dxa" w:w="1039"/>
            <w:tcW w:w="432" w:type="dxa"/>
            <w:shd w:val="clear" w:color="auto" w:fill="D9E1F2"/>
          </w:tcPr>
          <w:p>
            <w:pPr>
              <w:spacing w:before="0" w:after="0"/>
              <w:jc w:val="center"/>
            </w:pPr>
            <w:r/>
            <w:r>
              <w:rPr>
                <w:rFonts w:ascii="Times New Roman" w:hAnsi="Times New Roman"/>
                <w:b/>
                <w:i w:val="0"/>
                <w:sz w:val="20"/>
              </w:rPr>
              <w:t>SL</w:t>
            </w:r>
          </w:p>
        </w:tc>
        <w:tc>
          <w:tcPr>
            <w:tcW w:type="dxa" w:w="1039"/>
            <w:tcW w:w="1080" w:type="dxa"/>
            <w:shd w:val="clear" w:color="auto" w:fill="D9E1F2"/>
          </w:tcPr>
          <w:p>
            <w:pPr>
              <w:spacing w:before="0" w:after="0"/>
              <w:jc w:val="center"/>
            </w:pPr>
            <w:r/>
            <w:r>
              <w:rPr>
                <w:rFonts w:ascii="Times New Roman" w:hAnsi="Times New Roman"/>
                <w:b/>
                <w:i w:val="0"/>
                <w:sz w:val="20"/>
              </w:rPr>
              <w:t>Đơn giá</w:t>
            </w:r>
          </w:p>
        </w:tc>
        <w:tc>
          <w:tcPr>
            <w:tcW w:type="dxa" w:w="1039"/>
            <w:tcW w:w="1152" w:type="dxa"/>
            <w:shd w:val="clear" w:color="auto" w:fill="D9E1F2"/>
          </w:tcPr>
          <w:p>
            <w:pPr>
              <w:spacing w:before="0" w:after="0"/>
              <w:jc w:val="center"/>
            </w:pPr>
            <w:r/>
            <w:r>
              <w:rPr>
                <w:rFonts w:ascii="Times New Roman" w:hAnsi="Times New Roman"/>
                <w:b/>
                <w:i w:val="0"/>
                <w:sz w:val="20"/>
              </w:rPr>
              <w:t>T.Tiền trước thuế</w:t>
            </w:r>
          </w:p>
        </w:tc>
        <w:tc>
          <w:tcPr>
            <w:tcW w:type="dxa" w:w="1039"/>
            <w:tcW w:w="576" w:type="dxa"/>
            <w:shd w:val="clear" w:color="auto" w:fill="D9E1F2"/>
          </w:tcPr>
          <w:p>
            <w:pPr>
              <w:spacing w:before="0" w:after="0"/>
              <w:jc w:val="center"/>
            </w:pPr>
            <w:r/>
            <w:r>
              <w:rPr>
                <w:rFonts w:ascii="Times New Roman" w:hAnsi="Times New Roman"/>
                <w:b/>
                <w:i w:val="0"/>
                <w:sz w:val="20"/>
              </w:rPr>
              <w:t>TS%</w:t>
            </w:r>
          </w:p>
        </w:tc>
        <w:tc>
          <w:tcPr>
            <w:tcW w:type="dxa" w:w="1039"/>
            <w:tcW w:w="1080" w:type="dxa"/>
            <w:shd w:val="clear" w:color="auto" w:fill="D9E1F2"/>
          </w:tcPr>
          <w:p>
            <w:pPr>
              <w:spacing w:before="0" w:after="0"/>
              <w:jc w:val="center"/>
            </w:pPr>
            <w:r/>
            <w:r>
              <w:rPr>
                <w:rFonts w:ascii="Times New Roman" w:hAnsi="Times New Roman"/>
                <w:b/>
                <w:i w:val="0"/>
                <w:sz w:val="20"/>
              </w:rPr>
              <w:t>Tiền thuế</w:t>
            </w:r>
          </w:p>
        </w:tc>
        <w:tc>
          <w:tcPr>
            <w:tcW w:type="dxa" w:w="1039"/>
            <w:tcW w:w="1152" w:type="dxa"/>
            <w:shd w:val="clear" w:color="auto" w:fill="D9E1F2"/>
          </w:tcPr>
          <w:p>
            <w:pPr>
              <w:spacing w:before="0" w:after="0"/>
              <w:jc w:val="center"/>
            </w:pPr>
            <w:r/>
            <w:r>
              <w:rPr>
                <w:rFonts w:ascii="Times New Roman" w:hAnsi="Times New Roman"/>
                <w:b/>
                <w:i w:val="0"/>
                <w:sz w:val="20"/>
              </w:rPr>
              <w:t>Trị giá TT</w:t>
            </w:r>
          </w:p>
        </w:tc>
      </w:tr>
      <w:tr>
        <w:tc>
          <w:tcPr>
            <w:tcW w:type="dxa" w:w="1039"/>
            <w:tcW w:w="504" w:type="dxa"/>
          </w:tcPr>
          <w:p>
            <w:pPr>
              <w:spacing w:before="0" w:after="0"/>
              <w:jc w:val="center"/>
            </w:pPr>
            <w:r/>
            <w:r>
              <w:rPr>
                <w:rFonts w:ascii="Times New Roman" w:hAnsi="Times New Roman"/>
                <w:b w:val="0"/>
                <w:i w:val="0"/>
                <w:sz w:val="20"/>
              </w:rPr>
              <w:t>1</w:t>
            </w:r>
          </w:p>
        </w:tc>
        <w:tc>
          <w:tcPr>
            <w:tcW w:type="dxa" w:w="1039"/>
            <w:tcW w:w="3276" w:type="dxa"/>
          </w:tcPr>
          <w:p>
            <w:pPr>
              <w:spacing w:before="0" w:after="0"/>
              <w:jc w:val="left"/>
            </w:pPr>
            <w:r/>
            <w:r>
              <w:rPr>
                <w:rFonts w:ascii="Times New Roman" w:hAnsi="Times New Roman"/>
                <w:b w:val="0"/>
                <w:i w:val="0"/>
                <w:sz w:val="20"/>
              </w:rPr>
              <w:t>Mạch điều khiển FT2 của thương hiệu Lighttoys (Tên tiếng anh: FT2 Control Chip) – Mới 100%</w:t>
            </w:r>
          </w:p>
        </w:tc>
        <w:tc>
          <w:tcPr>
            <w:tcW w:type="dxa" w:w="1039"/>
            <w:tcW w:w="576" w:type="dxa"/>
          </w:tcPr>
          <w:p>
            <w:pPr>
              <w:spacing w:before="0" w:after="0"/>
              <w:jc w:val="center"/>
            </w:pPr>
            <w:r/>
            <w:r>
              <w:rPr>
                <w:rFonts w:ascii="Times New Roman" w:hAnsi="Times New Roman"/>
                <w:b w:val="0"/>
                <w:i w:val="0"/>
                <w:sz w:val="20"/>
              </w:rPr>
              <w:t>Cái</w:t>
            </w:r>
          </w:p>
        </w:tc>
        <w:tc>
          <w:tcPr>
            <w:tcW w:type="dxa" w:w="1039"/>
            <w:tcW w:w="432" w:type="dxa"/>
          </w:tcPr>
          <w:p>
            <w:pPr>
              <w:spacing w:before="0" w:after="0"/>
              <w:jc w:val="center"/>
            </w:pPr>
            <w:r/>
            <w:r>
              <w:rPr>
                <w:rFonts w:ascii="Times New Roman" w:hAnsi="Times New Roman"/>
                <w:b w:val="0"/>
                <w:i w:val="0"/>
                <w:sz w:val="20"/>
              </w:rPr>
              <w:t>15</w:t>
            </w:r>
          </w:p>
        </w:tc>
        <w:tc>
          <w:tcPr>
            <w:tcW w:type="dxa" w:w="1039"/>
            <w:tcW w:w="1080" w:type="dxa"/>
          </w:tcPr>
          <w:p>
            <w:pPr>
              <w:spacing w:before="0" w:after="0"/>
              <w:jc w:val="right"/>
            </w:pPr>
            <w:r/>
            <w:r>
              <w:rPr>
                <w:rFonts w:ascii="Times New Roman" w:hAnsi="Times New Roman"/>
                <w:b w:val="0"/>
                <w:i w:val="0"/>
                <w:sz w:val="20"/>
              </w:rPr>
              <w:t>3.440.000</w:t>
            </w:r>
          </w:p>
        </w:tc>
        <w:tc>
          <w:tcPr>
            <w:tcW w:type="dxa" w:w="1039"/>
            <w:tcW w:w="1152" w:type="dxa"/>
          </w:tcPr>
          <w:p>
            <w:pPr>
              <w:spacing w:before="0" w:after="0"/>
              <w:jc w:val="right"/>
            </w:pPr>
            <w:r/>
            <w:r>
              <w:rPr>
                <w:rFonts w:ascii="Times New Roman" w:hAnsi="Times New Roman"/>
                <w:b w:val="0"/>
                <w:i w:val="0"/>
                <w:sz w:val="20"/>
              </w:rPr>
              <w:t>51.600.000</w:t>
            </w:r>
          </w:p>
        </w:tc>
        <w:tc>
          <w:tcPr>
            <w:tcW w:type="dxa" w:w="1039"/>
            <w:tcW w:w="576" w:type="dxa"/>
          </w:tcPr>
          <w:p>
            <w:pPr>
              <w:spacing w:before="0" w:after="0"/>
              <w:jc w:val="center"/>
            </w:pPr>
            <w:r/>
            <w:r>
              <w:rPr>
                <w:rFonts w:ascii="Times New Roman" w:hAnsi="Times New Roman"/>
                <w:b w:val="0"/>
                <w:i w:val="0"/>
                <w:sz w:val="20"/>
              </w:rPr>
              <w:t>8%</w:t>
            </w:r>
          </w:p>
        </w:tc>
        <w:tc>
          <w:tcPr>
            <w:tcW w:type="dxa" w:w="1039"/>
            <w:tcW w:w="1080" w:type="dxa"/>
          </w:tcPr>
          <w:p>
            <w:pPr>
              <w:spacing w:before="0" w:after="0"/>
              <w:jc w:val="right"/>
            </w:pPr>
            <w:r/>
            <w:r>
              <w:rPr>
                <w:rFonts w:ascii="Times New Roman" w:hAnsi="Times New Roman"/>
                <w:b w:val="0"/>
                <w:i w:val="0"/>
                <w:sz w:val="20"/>
              </w:rPr>
              <w:t>4.128.000</w:t>
            </w:r>
          </w:p>
        </w:tc>
        <w:tc>
          <w:tcPr>
            <w:tcW w:type="dxa" w:w="1039"/>
            <w:tcW w:w="1152" w:type="dxa"/>
          </w:tcPr>
          <w:p>
            <w:pPr>
              <w:spacing w:before="0" w:after="0"/>
              <w:jc w:val="right"/>
            </w:pPr>
            <w:r/>
            <w:r>
              <w:rPr>
                <w:rFonts w:ascii="Times New Roman" w:hAnsi="Times New Roman"/>
                <w:b w:val="0"/>
                <w:i w:val="0"/>
                <w:sz w:val="20"/>
              </w:rPr>
              <w:t>55.728.000</w:t>
            </w:r>
          </w:p>
        </w:tc>
      </w:tr>
      <w:tr>
        <w:tc>
          <w:tcPr>
            <w:tcW w:type="dxa" w:w="1039"/>
            <w:tcW w:w="504" w:type="dxa"/>
          </w:tcPr>
          <w:p>
            <w:pPr>
              <w:spacing w:before="0" w:after="0"/>
              <w:jc w:val="center"/>
            </w:pPr>
            <w:r/>
            <w:r>
              <w:rPr>
                <w:rFonts w:ascii="Times New Roman" w:hAnsi="Times New Roman"/>
                <w:b w:val="0"/>
                <w:i w:val="0"/>
                <w:sz w:val="20"/>
              </w:rPr>
            </w:r>
          </w:p>
        </w:tc>
        <w:tc>
          <w:tcPr>
            <w:tcW w:type="dxa" w:w="1039"/>
            <w:tcW w:w="3276" w:type="dxa"/>
          </w:tcPr>
          <w:p>
            <w:pPr>
              <w:spacing w:before="0" w:after="0"/>
              <w:jc w:val="center"/>
            </w:pPr>
            <w:r/>
            <w:r>
              <w:rPr>
                <w:rFonts w:ascii="Times New Roman" w:hAnsi="Times New Roman"/>
                <w:b w:val="0"/>
                <w:i w:val="0"/>
                <w:sz w:val="20"/>
              </w:rPr>
            </w:r>
          </w:p>
        </w:tc>
        <w:tc>
          <w:tcPr>
            <w:tcW w:type="dxa" w:w="1039"/>
            <w:tcW w:w="576" w:type="dxa"/>
          </w:tcPr>
          <w:p>
            <w:pPr>
              <w:spacing w:before="0" w:after="0"/>
              <w:jc w:val="center"/>
            </w:pPr>
            <w:r/>
            <w:r>
              <w:rPr>
                <w:rFonts w:ascii="Times New Roman" w:hAnsi="Times New Roman"/>
                <w:b w:val="0"/>
                <w:i w:val="0"/>
                <w:sz w:val="20"/>
              </w:rPr>
            </w:r>
          </w:p>
        </w:tc>
        <w:tc>
          <w:tcPr>
            <w:tcW w:type="dxa" w:w="1039"/>
            <w:tcW w:w="432" w:type="dxa"/>
          </w:tcPr>
          <w:p>
            <w:pPr>
              <w:spacing w:before="0" w:after="0"/>
              <w:jc w:val="center"/>
            </w:pPr>
            <w:r/>
            <w:r>
              <w:rPr>
                <w:rFonts w:ascii="Times New Roman" w:hAnsi="Times New Roman"/>
                <w:b w:val="0"/>
                <w:i w:val="0"/>
                <w:sz w:val="20"/>
              </w:rPr>
            </w:r>
          </w:p>
        </w:tc>
        <w:tc>
          <w:tcPr>
            <w:tcW w:type="dxa" w:w="1039"/>
            <w:tcW w:w="1080" w:type="dxa"/>
          </w:tcPr>
          <w:p>
            <w:pPr>
              <w:spacing w:before="0" w:after="0"/>
              <w:jc w:val="center"/>
            </w:pPr>
            <w:r/>
            <w:r>
              <w:rPr>
                <w:rFonts w:ascii="Times New Roman" w:hAnsi="Times New Roman"/>
                <w:b w:val="0"/>
                <w:i w:val="0"/>
                <w:sz w:val="20"/>
              </w:rPr>
            </w:r>
          </w:p>
        </w:tc>
        <w:tc>
          <w:tcPr>
            <w:tcW w:type="dxa" w:w="1039"/>
            <w:tcW w:w="1152" w:type="dxa"/>
          </w:tcPr>
          <w:p>
            <w:pPr>
              <w:spacing w:before="0" w:after="0"/>
              <w:jc w:val="center"/>
            </w:pPr>
            <w:r/>
            <w:r>
              <w:rPr>
                <w:rFonts w:ascii="Times New Roman" w:hAnsi="Times New Roman"/>
                <w:b w:val="0"/>
                <w:i w:val="0"/>
                <w:sz w:val="20"/>
              </w:rPr>
            </w:r>
          </w:p>
        </w:tc>
        <w:tc>
          <w:tcPr>
            <w:tcW w:type="dxa" w:w="1039"/>
            <w:tcW w:w="576" w:type="dxa"/>
          </w:tcPr>
          <w:p>
            <w:pPr>
              <w:spacing w:before="0" w:after="0"/>
              <w:jc w:val="center"/>
            </w:pPr>
            <w:r/>
            <w:r>
              <w:rPr>
                <w:rFonts w:ascii="Times New Roman" w:hAnsi="Times New Roman"/>
                <w:b w:val="0"/>
                <w:i w:val="0"/>
                <w:sz w:val="20"/>
              </w:rPr>
            </w:r>
          </w:p>
        </w:tc>
        <w:tc>
          <w:tcPr>
            <w:tcW w:type="dxa" w:w="1039"/>
            <w:tcW w:w="1080" w:type="dxa"/>
          </w:tcPr>
          <w:p>
            <w:pPr>
              <w:spacing w:before="0" w:after="0"/>
              <w:jc w:val="center"/>
            </w:pPr>
            <w:r/>
            <w:r>
              <w:rPr>
                <w:rFonts w:ascii="Times New Roman" w:hAnsi="Times New Roman"/>
                <w:b w:val="0"/>
                <w:i w:val="0"/>
                <w:sz w:val="20"/>
              </w:rPr>
            </w:r>
          </w:p>
        </w:tc>
        <w:tc>
          <w:tcPr>
            <w:tcW w:type="dxa" w:w="1039"/>
            <w:tcW w:w="1152" w:type="dxa"/>
          </w:tcPr>
          <w:p>
            <w:pPr>
              <w:spacing w:before="0" w:after="0"/>
              <w:jc w:val="center"/>
            </w:pPr>
            <w:r/>
            <w:r>
              <w:rPr>
                <w:rFonts w:ascii="Times New Roman" w:hAnsi="Times New Roman"/>
                <w:b w:val="0"/>
                <w:i w:val="0"/>
                <w:sz w:val="20"/>
              </w:rPr>
            </w:r>
          </w:p>
        </w:tc>
      </w:tr>
      <w:tr>
        <w:tc>
          <w:tcPr>
            <w:tcW w:type="dxa" w:w="1039"/>
            <w:tcW w:w="504" w:type="dxa"/>
          </w:tcPr>
          <w:p>
            <w:pPr>
              <w:spacing w:before="0" w:after="0"/>
              <w:jc w:val="center"/>
            </w:pPr>
            <w:r/>
            <w:r>
              <w:rPr>
                <w:rFonts w:ascii="Times New Roman" w:hAnsi="Times New Roman"/>
                <w:b w:val="0"/>
                <w:i w:val="0"/>
                <w:sz w:val="20"/>
              </w:rPr>
            </w:r>
          </w:p>
        </w:tc>
        <w:tc>
          <w:tcPr>
            <w:tcW w:type="dxa" w:w="1039"/>
            <w:tcW w:w="3276" w:type="dxa"/>
          </w:tcPr>
          <w:p>
            <w:pPr>
              <w:spacing w:before="0" w:after="0"/>
              <w:jc w:val="center"/>
            </w:pPr>
            <w:r/>
            <w:r>
              <w:rPr>
                <w:rFonts w:ascii="Times New Roman" w:hAnsi="Times New Roman"/>
                <w:b w:val="0"/>
                <w:i w:val="0"/>
                <w:sz w:val="20"/>
              </w:rPr>
            </w:r>
          </w:p>
        </w:tc>
        <w:tc>
          <w:tcPr>
            <w:tcW w:type="dxa" w:w="1039"/>
            <w:tcW w:w="576" w:type="dxa"/>
          </w:tcPr>
          <w:p>
            <w:pPr>
              <w:spacing w:before="0" w:after="0"/>
              <w:jc w:val="center"/>
            </w:pPr>
            <w:r/>
            <w:r>
              <w:rPr>
                <w:rFonts w:ascii="Times New Roman" w:hAnsi="Times New Roman"/>
                <w:b w:val="0"/>
                <w:i w:val="0"/>
                <w:sz w:val="20"/>
              </w:rPr>
            </w:r>
          </w:p>
        </w:tc>
        <w:tc>
          <w:tcPr>
            <w:tcW w:type="dxa" w:w="1039"/>
            <w:tcW w:w="432" w:type="dxa"/>
          </w:tcPr>
          <w:p>
            <w:pPr>
              <w:spacing w:before="0" w:after="0"/>
              <w:jc w:val="center"/>
            </w:pPr>
            <w:r/>
            <w:r>
              <w:rPr>
                <w:rFonts w:ascii="Times New Roman" w:hAnsi="Times New Roman"/>
                <w:b w:val="0"/>
                <w:i w:val="0"/>
                <w:sz w:val="20"/>
              </w:rPr>
            </w:r>
          </w:p>
        </w:tc>
        <w:tc>
          <w:tcPr>
            <w:tcW w:type="dxa" w:w="1039"/>
            <w:tcW w:w="1080" w:type="dxa"/>
          </w:tcPr>
          <w:p>
            <w:pPr>
              <w:spacing w:before="0" w:after="0"/>
              <w:jc w:val="center"/>
            </w:pPr>
            <w:r/>
            <w:r>
              <w:rPr>
                <w:rFonts w:ascii="Times New Roman" w:hAnsi="Times New Roman"/>
                <w:b w:val="0"/>
                <w:i w:val="0"/>
                <w:sz w:val="20"/>
              </w:rPr>
            </w:r>
          </w:p>
        </w:tc>
        <w:tc>
          <w:tcPr>
            <w:tcW w:type="dxa" w:w="1039"/>
            <w:tcW w:w="1152" w:type="dxa"/>
          </w:tcPr>
          <w:p>
            <w:pPr>
              <w:spacing w:before="0" w:after="0"/>
              <w:jc w:val="center"/>
            </w:pPr>
            <w:r/>
            <w:r>
              <w:rPr>
                <w:rFonts w:ascii="Times New Roman" w:hAnsi="Times New Roman"/>
                <w:b w:val="0"/>
                <w:i w:val="0"/>
                <w:sz w:val="20"/>
              </w:rPr>
            </w:r>
          </w:p>
        </w:tc>
        <w:tc>
          <w:tcPr>
            <w:tcW w:type="dxa" w:w="1039"/>
            <w:tcW w:w="576" w:type="dxa"/>
          </w:tcPr>
          <w:p>
            <w:pPr>
              <w:spacing w:before="0" w:after="0"/>
              <w:jc w:val="center"/>
            </w:pPr>
            <w:r/>
            <w:r>
              <w:rPr>
                <w:rFonts w:ascii="Times New Roman" w:hAnsi="Times New Roman"/>
                <w:b w:val="0"/>
                <w:i w:val="0"/>
                <w:sz w:val="20"/>
              </w:rPr>
            </w:r>
          </w:p>
        </w:tc>
        <w:tc>
          <w:tcPr>
            <w:tcW w:type="dxa" w:w="1039"/>
            <w:tcW w:w="1080" w:type="dxa"/>
          </w:tcPr>
          <w:p>
            <w:pPr>
              <w:spacing w:before="0" w:after="0"/>
              <w:jc w:val="center"/>
            </w:pPr>
            <w:r/>
            <w:r>
              <w:rPr>
                <w:rFonts w:ascii="Times New Roman" w:hAnsi="Times New Roman"/>
                <w:b w:val="0"/>
                <w:i w:val="0"/>
                <w:sz w:val="20"/>
              </w:rPr>
            </w:r>
          </w:p>
        </w:tc>
        <w:tc>
          <w:tcPr>
            <w:tcW w:type="dxa" w:w="1039"/>
            <w:tcW w:w="1152" w:type="dxa"/>
          </w:tcPr>
          <w:p>
            <w:pPr>
              <w:spacing w:before="0" w:after="0"/>
              <w:jc w:val="center"/>
            </w:pPr>
            <w:r/>
            <w:r>
              <w:rPr>
                <w:rFonts w:ascii="Times New Roman" w:hAnsi="Times New Roman"/>
                <w:b w:val="0"/>
                <w:i w:val="0"/>
                <w:sz w:val="20"/>
              </w:rPr>
            </w:r>
          </w:p>
        </w:tc>
      </w:tr>
      <w:tr>
        <w:tc>
          <w:tcPr>
            <w:tcW w:type="dxa" w:w="1039"/>
            <w:tcW w:w="504" w:type="dxa"/>
          </w:tcPr>
          <w:p>
            <w:pPr>
              <w:spacing w:before="0" w:after="0"/>
              <w:jc w:val="center"/>
            </w:pPr>
            <w:r/>
            <w:r>
              <w:rPr>
                <w:rFonts w:ascii="Times New Roman" w:hAnsi="Times New Roman"/>
                <w:b w:val="0"/>
                <w:i w:val="0"/>
                <w:sz w:val="20"/>
              </w:rPr>
            </w:r>
          </w:p>
        </w:tc>
        <w:tc>
          <w:tcPr>
            <w:tcW w:type="dxa" w:w="1039"/>
            <w:tcW w:w="3276" w:type="dxa"/>
          </w:tcPr>
          <w:p>
            <w:pPr>
              <w:spacing w:before="0" w:after="0"/>
              <w:jc w:val="center"/>
            </w:pPr>
            <w:r/>
            <w:r>
              <w:rPr>
                <w:rFonts w:ascii="Times New Roman" w:hAnsi="Times New Roman"/>
                <w:b w:val="0"/>
                <w:i w:val="0"/>
                <w:sz w:val="20"/>
              </w:rPr>
            </w:r>
          </w:p>
        </w:tc>
        <w:tc>
          <w:tcPr>
            <w:tcW w:type="dxa" w:w="1039"/>
            <w:tcW w:w="576" w:type="dxa"/>
          </w:tcPr>
          <w:p>
            <w:pPr>
              <w:spacing w:before="0" w:after="0"/>
              <w:jc w:val="center"/>
            </w:pPr>
            <w:r/>
            <w:r>
              <w:rPr>
                <w:rFonts w:ascii="Times New Roman" w:hAnsi="Times New Roman"/>
                <w:b w:val="0"/>
                <w:i w:val="0"/>
                <w:sz w:val="20"/>
              </w:rPr>
            </w:r>
          </w:p>
        </w:tc>
        <w:tc>
          <w:tcPr>
            <w:tcW w:type="dxa" w:w="1039"/>
            <w:tcW w:w="432" w:type="dxa"/>
          </w:tcPr>
          <w:p>
            <w:pPr>
              <w:spacing w:before="0" w:after="0"/>
              <w:jc w:val="center"/>
            </w:pPr>
            <w:r/>
            <w:r>
              <w:rPr>
                <w:rFonts w:ascii="Times New Roman" w:hAnsi="Times New Roman"/>
                <w:b w:val="0"/>
                <w:i w:val="0"/>
                <w:sz w:val="20"/>
              </w:rPr>
            </w:r>
          </w:p>
        </w:tc>
        <w:tc>
          <w:tcPr>
            <w:tcW w:type="dxa" w:w="1039"/>
            <w:tcW w:w="1080" w:type="dxa"/>
          </w:tcPr>
          <w:p>
            <w:pPr>
              <w:spacing w:before="0" w:after="0"/>
              <w:jc w:val="center"/>
            </w:pPr>
            <w:r/>
            <w:r>
              <w:rPr>
                <w:rFonts w:ascii="Times New Roman" w:hAnsi="Times New Roman"/>
                <w:b w:val="0"/>
                <w:i w:val="0"/>
                <w:sz w:val="20"/>
              </w:rPr>
            </w:r>
          </w:p>
        </w:tc>
        <w:tc>
          <w:tcPr>
            <w:tcW w:type="dxa" w:w="1039"/>
            <w:tcW w:w="1152" w:type="dxa"/>
          </w:tcPr>
          <w:p>
            <w:pPr>
              <w:spacing w:before="0" w:after="0"/>
              <w:jc w:val="center"/>
            </w:pPr>
            <w:r/>
            <w:r>
              <w:rPr>
                <w:rFonts w:ascii="Times New Roman" w:hAnsi="Times New Roman"/>
                <w:b w:val="0"/>
                <w:i w:val="0"/>
                <w:sz w:val="20"/>
              </w:rPr>
            </w:r>
          </w:p>
        </w:tc>
        <w:tc>
          <w:tcPr>
            <w:tcW w:type="dxa" w:w="1039"/>
            <w:tcW w:w="576" w:type="dxa"/>
          </w:tcPr>
          <w:p>
            <w:pPr>
              <w:spacing w:before="0" w:after="0"/>
              <w:jc w:val="center"/>
            </w:pPr>
            <w:r/>
            <w:r>
              <w:rPr>
                <w:rFonts w:ascii="Times New Roman" w:hAnsi="Times New Roman"/>
                <w:b w:val="0"/>
                <w:i w:val="0"/>
                <w:sz w:val="20"/>
              </w:rPr>
            </w:r>
          </w:p>
        </w:tc>
        <w:tc>
          <w:tcPr>
            <w:tcW w:type="dxa" w:w="1039"/>
            <w:tcW w:w="1080" w:type="dxa"/>
          </w:tcPr>
          <w:p>
            <w:pPr>
              <w:spacing w:before="0" w:after="0"/>
              <w:jc w:val="center"/>
            </w:pPr>
            <w:r/>
            <w:r>
              <w:rPr>
                <w:rFonts w:ascii="Times New Roman" w:hAnsi="Times New Roman"/>
                <w:b w:val="0"/>
                <w:i w:val="0"/>
                <w:sz w:val="20"/>
              </w:rPr>
            </w:r>
          </w:p>
        </w:tc>
        <w:tc>
          <w:tcPr>
            <w:tcW w:type="dxa" w:w="1039"/>
            <w:tcW w:w="1152" w:type="dxa"/>
          </w:tcPr>
          <w:p>
            <w:pPr>
              <w:spacing w:before="0" w:after="0"/>
              <w:jc w:val="center"/>
            </w:pPr>
            <w:r/>
            <w:r>
              <w:rPr>
                <w:rFonts w:ascii="Times New Roman" w:hAnsi="Times New Roman"/>
                <w:b w:val="0"/>
                <w:i w:val="0"/>
                <w:sz w:val="20"/>
              </w:rPr>
            </w:r>
          </w:p>
        </w:tc>
      </w:tr>
      <w:tr>
        <w:tc>
          <w:tcPr>
            <w:tcW w:type="dxa" w:w="4156"/>
            <w:tcW w:w="504" w:type="dxa"/>
            <w:gridSpan w:val="4"/>
          </w:tcPr>
          <w:p>
            <w:pPr>
              <w:spacing w:before="0" w:after="0"/>
              <w:jc w:val="left"/>
            </w:pPr>
            <w:r/>
            <w:r>
              <w:rPr>
                <w:rFonts w:ascii="Times New Roman" w:hAnsi="Times New Roman"/>
                <w:b/>
                <w:i w:val="0"/>
                <w:sz w:val="20"/>
              </w:rPr>
              <w:t>Tổng cộng (Total):</w:t>
            </w:r>
          </w:p>
        </w:tc>
        <w:tc>
          <w:tcPr>
            <w:tcW w:type="dxa" w:w="1039"/>
            <w:tcW w:w="1080" w:type="dxa"/>
          </w:tcPr>
          <w:p>
            <w:pPr>
              <w:spacing w:before="0" w:after="0"/>
              <w:jc w:val="center"/>
            </w:pPr>
            <w:r/>
            <w:r>
              <w:rPr>
                <w:rFonts w:ascii="Times New Roman" w:hAnsi="Times New Roman"/>
                <w:b w:val="0"/>
                <w:i w:val="0"/>
                <w:sz w:val="20"/>
              </w:rPr>
            </w:r>
          </w:p>
        </w:tc>
        <w:tc>
          <w:tcPr>
            <w:tcW w:type="dxa" w:w="1039"/>
            <w:tcW w:w="1152" w:type="dxa"/>
          </w:tcPr>
          <w:p>
            <w:pPr>
              <w:spacing w:before="0" w:after="0"/>
              <w:jc w:val="right"/>
            </w:pPr>
            <w:r/>
            <w:r>
              <w:rPr>
                <w:rFonts w:ascii="Times New Roman" w:hAnsi="Times New Roman"/>
                <w:b w:val="0"/>
                <w:i w:val="0"/>
                <w:sz w:val="20"/>
              </w:rPr>
              <w:t>51.600.000</w:t>
            </w:r>
          </w:p>
        </w:tc>
        <w:tc>
          <w:tcPr>
            <w:tcW w:type="dxa" w:w="1039"/>
            <w:tcW w:w="576" w:type="dxa"/>
          </w:tcPr>
          <w:p>
            <w:pPr>
              <w:spacing w:before="0" w:after="0"/>
              <w:jc w:val="center"/>
            </w:pPr>
            <w:r/>
            <w:r>
              <w:rPr>
                <w:rFonts w:ascii="Times New Roman" w:hAnsi="Times New Roman"/>
                <w:b w:val="0"/>
                <w:i w:val="0"/>
                <w:sz w:val="20"/>
              </w:rPr>
            </w:r>
          </w:p>
        </w:tc>
        <w:tc>
          <w:tcPr>
            <w:tcW w:type="dxa" w:w="1039"/>
            <w:tcW w:w="1080" w:type="dxa"/>
          </w:tcPr>
          <w:p>
            <w:pPr>
              <w:spacing w:before="0" w:after="0"/>
              <w:jc w:val="right"/>
            </w:pPr>
            <w:r/>
            <w:r>
              <w:rPr>
                <w:rFonts w:ascii="Times New Roman" w:hAnsi="Times New Roman"/>
                <w:b w:val="0"/>
                <w:i w:val="0"/>
                <w:sz w:val="20"/>
              </w:rPr>
              <w:t>4.128.000</w:t>
            </w:r>
          </w:p>
        </w:tc>
        <w:tc>
          <w:tcPr>
            <w:tcW w:type="dxa" w:w="1039"/>
            <w:tcW w:w="1152" w:type="dxa"/>
          </w:tcPr>
          <w:p>
            <w:pPr>
              <w:spacing w:before="0" w:after="0"/>
              <w:jc w:val="right"/>
            </w:pPr>
            <w:r/>
            <w:r>
              <w:rPr>
                <w:rFonts w:ascii="Times New Roman" w:hAnsi="Times New Roman"/>
                <w:b w:val="0"/>
                <w:i w:val="0"/>
                <w:sz w:val="20"/>
              </w:rPr>
              <w:t>55.728.000</w:t>
            </w:r>
          </w:p>
        </w:tc>
      </w:tr>
      <w:tr>
        <w:tc>
          <w:tcPr>
            <w:tcW w:type="dxa" w:w="9351"/>
            <w:tcW w:w="504" w:type="dxa"/>
            <w:gridSpan w:val="9"/>
          </w:tcPr>
          <w:p>
            <w:pPr>
              <w:spacing w:before="0" w:after="0"/>
              <w:jc w:val="left"/>
            </w:pPr>
            <w:r/>
            <w:r>
              <w:rPr>
                <w:rFonts w:ascii="Times New Roman" w:hAnsi="Times New Roman"/>
                <w:b w:val="0"/>
                <w:i/>
                <w:sz w:val="20"/>
              </w:rPr>
              <w:t>Số tiền viết bằng chữ: Năm mươi lăm triệu bảy trăm hai mươi tám nghìn đồng</w:t>
            </w:r>
          </w:p>
        </w:tc>
      </w:tr>
    </w:tbl>
    <w:p/>
    <w:p>
      <w:pPr>
        <w:spacing w:before="0" w:after="80"/>
        <w:jc w:val="left"/>
      </w:pPr>
      <w:r>
        <w:rPr>
          <w:rFonts w:ascii="Times New Roman" w:hAnsi="Times New Roman"/>
          <w:b/>
          <w:i w:val="0"/>
          <w:sz w:val="26"/>
        </w:rPr>
        <w:t>ĐIỀU 2. THANH TOÁN.</w:t>
      </w:r>
    </w:p>
    <w:p>
      <w:pPr>
        <w:spacing w:before="0" w:after="120"/>
        <w:jc w:val="left"/>
      </w:pPr>
      <w:r>
        <w:rPr>
          <w:rFonts w:ascii="Times New Roman" w:hAnsi="Times New Roman"/>
          <w:b w:val="0"/>
          <w:i w:val="0"/>
          <w:sz w:val="26"/>
        </w:rPr>
        <w:t>Bên Mua phải thanh toán toàn bộ số tiền ghi tại Điều 1 ngay sau khi ký hợp đồng vào ngày 17/3/2026.</w:t>
      </w:r>
    </w:p>
    <w:p>
      <w:pPr>
        <w:spacing w:before="0" w:after="40"/>
        <w:jc w:val="left"/>
      </w:pPr>
      <w:r>
        <w:rPr>
          <w:rFonts w:ascii="Times New Roman" w:hAnsi="Times New Roman"/>
          <w:b w:val="0"/>
          <w:i w:val="0"/>
          <w:sz w:val="26"/>
        </w:rPr>
        <w:t>Bên Mua thanh toán cho Bên Bán theo hình thức chuyển khoản vào tài khoản của Bên Bán chi tiết như sau:</w:t>
      </w:r>
    </w:p>
    <w:p>
      <w:pPr>
        <w:spacing w:before="0" w:after="40"/>
        <w:jc w:val="left"/>
      </w:pPr>
      <w:r>
        <w:rPr>
          <w:rFonts w:ascii="Times New Roman" w:hAnsi="Times New Roman"/>
          <w:b w:val="0"/>
          <w:i w:val="0"/>
          <w:sz w:val="26"/>
        </w:rPr>
        <w:t>Số tài khoản: 7294949999</w:t>
      </w:r>
    </w:p>
    <w:p>
      <w:pPr>
        <w:spacing w:before="0" w:after="40"/>
        <w:jc w:val="left"/>
      </w:pPr>
      <w:r>
        <w:rPr>
          <w:rFonts w:ascii="Times New Roman" w:hAnsi="Times New Roman"/>
          <w:b w:val="0"/>
          <w:i w:val="0"/>
          <w:sz w:val="26"/>
        </w:rPr>
        <w:t>Chủ tài khoản: CÔNG TY HAPPY SMART LIGHT.</w:t>
      </w:r>
    </w:p>
    <w:p>
      <w:pPr>
        <w:spacing w:before="0" w:after="200"/>
        <w:jc w:val="left"/>
      </w:pPr>
      <w:r>
        <w:rPr>
          <w:rFonts w:ascii="Times New Roman" w:hAnsi="Times New Roman"/>
          <w:b w:val="0"/>
          <w:i w:val="0"/>
          <w:sz w:val="26"/>
        </w:rPr>
        <w:t>Mở tại: MB Bank (Ngân hàng Quân Đội)</w:t>
      </w:r>
    </w:p>
    <w:p>
      <w:pPr>
        <w:spacing w:before="0" w:after="80"/>
        <w:jc w:val="left"/>
      </w:pPr>
      <w:r>
        <w:rPr>
          <w:rFonts w:ascii="Times New Roman" w:hAnsi="Times New Roman"/>
          <w:b/>
          <w:i w:val="0"/>
          <w:sz w:val="26"/>
        </w:rPr>
        <w:t>ĐIỀU 3: THỜI GIAN, ĐỊA ĐIỂM VÀ PHƯƠNG THỨC GIAO HÀNG</w:t>
      </w:r>
    </w:p>
    <w:p>
      <w:pPr>
        <w:spacing w:before="0" w:after="40"/>
        <w:jc w:val="left"/>
      </w:pPr>
      <w:r>
        <w:rPr>
          <w:rFonts w:ascii="Times New Roman" w:hAnsi="Times New Roman"/>
          <w:b w:val="0"/>
          <w:i w:val="0"/>
          <w:sz w:val="26"/>
        </w:rPr>
        <w:t>Việc bàn giao hàng hóa cho Bên Mua được thực hiện chậm nhất vào ngày 17/3/2026.</w:t>
      </w:r>
    </w:p>
    <w:p>
      <w:pPr>
        <w:spacing w:before="0" w:after="40"/>
        <w:jc w:val="left"/>
      </w:pPr>
      <w:r>
        <w:rPr>
          <w:rFonts w:ascii="Times New Roman" w:hAnsi="Times New Roman"/>
          <w:b w:val="0"/>
          <w:i w:val="0"/>
          <w:sz w:val="26"/>
        </w:rPr>
        <w:t>Địa điểm giao nhận hàng tại Trụ sở của Bên Mua: 1073/22 Cách Mạng Tháng 8, Phường Tân Sơn Nhất, Thành phố Hồ Chí Minh, Việt Nam</w:t>
      </w:r>
    </w:p>
    <w:p>
      <w:pPr>
        <w:spacing w:before="0" w:after="200"/>
        <w:jc w:val="left"/>
      </w:pPr>
      <w:r>
        <w:rPr>
          <w:rFonts w:ascii="Times New Roman" w:hAnsi="Times New Roman"/>
          <w:b w:val="0"/>
          <w:i w:val="0"/>
          <w:sz w:val="26"/>
        </w:rPr>
        <w:t>Phương thức giao hàng: bên Bán sẽ giao hàng cho bên Mua qua ứng dụng giao hàng. Phí vận chuyển sẽ do bên Mua thanh toán.</w:t>
      </w:r>
    </w:p>
    <w:p>
      <w:pPr>
        <w:spacing w:before="0" w:after="80"/>
        <w:jc w:val="left"/>
      </w:pPr>
      <w:r>
        <w:rPr>
          <w:rFonts w:ascii="Times New Roman" w:hAnsi="Times New Roman"/>
          <w:b/>
          <w:i w:val="0"/>
          <w:sz w:val="26"/>
        </w:rPr>
        <w:t>ĐIỀU 4: TRÁCH NHIỆM CỦA CÁC BÊN</w:t>
      </w:r>
    </w:p>
    <w:p>
      <w:pPr>
        <w:spacing w:before="0" w:after="60"/>
        <w:jc w:val="left"/>
      </w:pPr>
      <w:r>
        <w:rPr>
          <w:rFonts w:ascii="Times New Roman" w:hAnsi="Times New Roman"/>
          <w:b w:val="0"/>
          <w:i w:val="0"/>
          <w:sz w:val="26"/>
        </w:rPr>
        <w:t>Bên Bán có nghĩa vụ giao hàng đúng thời gian, địa điểm, chất lượng và chủng loại theo quy định trong hợp đồng này, trừ trường hợp bất khả kháng.</w:t>
      </w:r>
    </w:p>
    <w:p>
      <w:pPr>
        <w:spacing w:before="0" w:after="60"/>
        <w:jc w:val="left"/>
      </w:pPr>
      <w:r>
        <w:rPr>
          <w:rFonts w:ascii="Times New Roman" w:hAnsi="Times New Roman"/>
          <w:b w:val="0"/>
          <w:i w:val="0"/>
          <w:sz w:val="26"/>
        </w:rPr>
        <w:t>Bên Bán có nghĩa vụ cung cấp đầy đủ hóa đơn, chứng từ, tài liệu hợp lệ cho Bên Mua và chịu trách nhiệm pháp lý về tính hợp lệ của các hóa đơn, chứng từ, tài liệu đã giao.</w:t>
      </w:r>
    </w:p>
    <w:p>
      <w:pPr>
        <w:spacing w:before="0" w:after="60"/>
        <w:jc w:val="left"/>
      </w:pPr>
      <w:r>
        <w:rPr>
          <w:rFonts w:ascii="Times New Roman" w:hAnsi="Times New Roman"/>
          <w:b w:val="0"/>
          <w:i w:val="0"/>
          <w:sz w:val="26"/>
        </w:rPr>
        <w:t>Bên Mua có trách nhiệm thanh toán và nhận hàng theo đúng thời gian đã quy định.</w:t>
      </w:r>
    </w:p>
    <w:p>
      <w:pPr>
        <w:spacing w:before="0" w:after="60"/>
        <w:jc w:val="left"/>
      </w:pPr>
      <w:r>
        <w:rPr>
          <w:rFonts w:ascii="Times New Roman" w:hAnsi="Times New Roman"/>
          <w:b w:val="0"/>
          <w:i w:val="0"/>
          <w:sz w:val="26"/>
        </w:rPr>
        <w:t>Khi nhận hàng, bên mua có trách nhiệm kiểm nhận số lượng chủng loại hàng hóa tại chỗ và có video ghi nhận quá trình khui hàng. Nếu phát hiện hàng thiếu hoặc không đúng tiêu chuẩn chất lượng thì báo cho bên Bán ngay lập tức, yêu cầu bên Bán xác nhận. Hàng thiếu/không đúng loại mà bên Mua không có video khui hàng thì bên Bán không chịu trách nhiệm.</w:t>
      </w:r>
    </w:p>
    <w:p>
      <w:pPr>
        <w:spacing w:before="0" w:after="60"/>
        <w:jc w:val="left"/>
      </w:pPr>
      <w:r>
        <w:rPr>
          <w:rFonts w:ascii="Times New Roman" w:hAnsi="Times New Roman"/>
          <w:b w:val="0"/>
          <w:i w:val="0"/>
          <w:sz w:val="26"/>
        </w:rPr>
        <w:t>Trong trường hợp bên Bán giao hàng chậm trễ so với ngày dự kiến (17/3/2026) thì bên Bán có trách nhiệm thông báo cho bên Mua để hai bên cùng tìm phương án giải quyết.</w:t>
      </w:r>
    </w:p>
    <w:p/>
    <w:p>
      <w:pPr>
        <w:spacing w:before="0" w:after="80"/>
        <w:jc w:val="left"/>
      </w:pPr>
      <w:r>
        <w:rPr>
          <w:rFonts w:ascii="Times New Roman" w:hAnsi="Times New Roman"/>
          <w:b/>
          <w:i w:val="0"/>
          <w:sz w:val="26"/>
        </w:rPr>
        <w:t>ĐIỀU 5: BẤT KHẢ KHÁNG VÀ GIẢI QUYẾT TRANH CHẤP</w:t>
      </w:r>
    </w:p>
    <w:p>
      <w:pPr>
        <w:spacing w:before="0" w:after="60"/>
        <w:jc w:val="left"/>
      </w:pPr>
      <w:r>
        <w:rPr>
          <w:rFonts w:ascii="Times New Roman" w:hAnsi="Times New Roman"/>
          <w:b w:val="0"/>
          <w:i w:val="0"/>
          <w:sz w:val="26"/>
        </w:rPr>
        <w:t>Bất khả kháng có nghĩa là các sự kiện xảy ra một cách khách quan, không thể lường trước được và không thể khắc phục được mặc dù đã áp dụng mọi biện pháp cần thiết trong khả năng cho phép, một trong các Bên vẫn không có khả năng thực hiện được nghĩa vụ của mình theo Hợp đồng này, gồm nhưng không giới hạn ở: thiên tai, hỏa hoạn, lũ lụt, chiến tranh, can thiệp của chính quyền bằng vũ trang, cản trở giao thông vận tải và các sự kiện khác tương tự.</w:t>
      </w:r>
    </w:p>
    <w:p>
      <w:pPr>
        <w:spacing w:before="0" w:after="60"/>
        <w:jc w:val="left"/>
      </w:pPr>
      <w:r>
        <w:rPr>
          <w:rFonts w:ascii="Times New Roman" w:hAnsi="Times New Roman"/>
          <w:b w:val="0"/>
          <w:i w:val="0"/>
          <w:sz w:val="26"/>
        </w:rPr>
        <w:t>Khi xảy ra sự kiện bất khả kháng, bên gặp phải bất khả kháng phải không chậm trễ, thông báo cho bên kia tình trạng thực tế, đề xuất phương án xử lý và nỗ lực giảm thiểu tổn thất, thiệt hại đến mức thấp nhất có thể.</w:t>
      </w:r>
    </w:p>
    <w:p>
      <w:pPr>
        <w:spacing w:before="0" w:after="60"/>
        <w:jc w:val="left"/>
      </w:pPr>
      <w:r>
        <w:rPr>
          <w:rFonts w:ascii="Times New Roman" w:hAnsi="Times New Roman"/>
          <w:b w:val="0"/>
          <w:i w:val="0"/>
          <w:sz w:val="26"/>
        </w:rPr>
        <w:t>Trong quá trình thực hiện hợp đồng, nếu có vướng mắc từ bất kỳ bên nào, hai bên sẽ cùng nhau giải quyết trên tinh thần hợp tác. Trong trường hợp không tự giải quyết được, hai bên thống nhất đưa ra giải quyết tại Tòa án có thẩm quyền. Phán quyết của toà án là quyết định cuối cùng, có giá trị ràng buộc các bên. Bên thua phải chịu toàn bộ các chi phí giải quyết tranh chấp.</w:t>
      </w:r>
    </w:p>
    <w:p/>
    <w:p>
      <w:pPr>
        <w:spacing w:before="0" w:after="80"/>
        <w:jc w:val="left"/>
      </w:pPr>
      <w:r>
        <w:rPr>
          <w:rFonts w:ascii="Times New Roman" w:hAnsi="Times New Roman"/>
          <w:b/>
          <w:i w:val="0"/>
          <w:sz w:val="26"/>
        </w:rPr>
        <w:t>ĐIỀU 6: ĐIỀU KHOẢN CHUNG</w:t>
      </w:r>
    </w:p>
    <w:p>
      <w:pPr>
        <w:spacing w:before="0" w:after="60"/>
        <w:jc w:val="left"/>
      </w:pPr>
      <w:r>
        <w:rPr>
          <w:rFonts w:ascii="Times New Roman" w:hAnsi="Times New Roman"/>
          <w:b w:val="0"/>
          <w:i w:val="0"/>
          <w:sz w:val="26"/>
        </w:rPr>
        <w:t>Việc thay đổi tên của Bên Mua trên hợp đồng và/hoặc trên hóa đơn sẽ không được chấp nhận.</w:t>
      </w:r>
    </w:p>
    <w:p>
      <w:pPr>
        <w:spacing w:before="0" w:after="60"/>
        <w:jc w:val="left"/>
      </w:pPr>
      <w:r>
        <w:rPr>
          <w:rFonts w:ascii="Times New Roman" w:hAnsi="Times New Roman"/>
          <w:b w:val="0"/>
          <w:i w:val="0"/>
          <w:sz w:val="26"/>
        </w:rPr>
        <w:t>Hợp đồng này có giá trị thay thế mọi giao dịch, thỏa thuận trước đây của hai bên. Mọi sự bổ sung, sửa đổi hợp đồng này đều phải có sự đồng ý bằng văn bản của hai bên.</w:t>
      </w:r>
    </w:p>
    <w:p>
      <w:pPr>
        <w:spacing w:before="0" w:after="60"/>
        <w:jc w:val="left"/>
      </w:pPr>
      <w:r>
        <w:rPr>
          <w:rFonts w:ascii="Times New Roman" w:hAnsi="Times New Roman"/>
          <w:b w:val="0"/>
          <w:i w:val="0"/>
          <w:sz w:val="26"/>
        </w:rPr>
        <w:t>Trừ các trường hợp được quy định ở trên, Hợp đồng này không thể bị hủy bỏ nếu không có thỏa thuận bằng văn bản của các bên.</w:t>
      </w:r>
    </w:p>
    <w:p>
      <w:pPr>
        <w:spacing w:before="0" w:after="60"/>
        <w:jc w:val="left"/>
      </w:pPr>
      <w:r>
        <w:rPr>
          <w:rFonts w:ascii="Times New Roman" w:hAnsi="Times New Roman"/>
          <w:b w:val="0"/>
          <w:i w:val="0"/>
          <w:sz w:val="26"/>
        </w:rPr>
        <w:t>Hợp đồng này được lập thành 02 (hai) bản. Mỗi bên giữ 01 (một) bản, có giá trị pháp lý như nhau.</w:t>
      </w:r>
    </w:p>
    <w:p>
      <w:pPr>
        <w:spacing w:before="0" w:after="60"/>
        <w:jc w:val="left"/>
      </w:pPr>
      <w:r>
        <w:rPr>
          <w:rFonts w:ascii="Times New Roman" w:hAnsi="Times New Roman"/>
          <w:b w:val="0"/>
          <w:i w:val="0"/>
          <w:sz w:val="26"/>
        </w:rPr>
        <w:t>Hợp đồng này có hiệu lực kể từ ngày ký và được coi là đã thanh lý khi Bên B đã nhận đủ tiền và Bên A đã nhận hàng.</w:t>
      </w:r>
    </w:p>
    <w:p/>
    <w:p/>
    <w:tbl>
      <w:tblPr>
        <w:tblW w:type="auto" w:w="0"/>
        <w:jc w:val="center"/>
        <w:tblLook w:firstColumn="1" w:firstRow="1" w:lastColumn="0" w:lastRow="0" w:noHBand="0" w:noVBand="1" w:val="04A0"/>
      </w:tblPr>
      <w:tblGrid>
        <w:gridCol w:w="4677"/>
        <w:gridCol w:w="4677"/>
      </w:tblGrid>
      <w:tr>
        <w:tc>
          <w:tcPr>
            <w:tcW w:type="dxa" w:w="4677"/>
          </w:tcPr>
          <w:p>
            <w:pPr>
              <w:jc w:val="center"/>
            </w:pPr>
            <w:r/>
            <w:r>
              <w:rPr>
                <w:rFonts w:ascii="Times New Roman" w:hAnsi="Times New Roman"/>
                <w:b/>
                <w:sz w:val="26"/>
              </w:rPr>
              <w:t>Đại diện bên Mua</w:t>
              <w:br/>
            </w:r>
            <w:r>
              <w:rPr>
                <w:rFonts w:ascii="Times New Roman" w:hAnsi="Times New Roman"/>
                <w:sz w:val="26"/>
              </w:rPr>
              <w:t>(Ký và đóng dấu)</w:t>
            </w:r>
          </w:p>
          <w:p/>
          <w:p/>
          <w:p/>
          <w:p/>
          <w:p/>
        </w:tc>
        <w:tc>
          <w:tcPr>
            <w:tcW w:type="dxa" w:w="4677"/>
          </w:tcPr>
          <w:p>
            <w:pPr>
              <w:jc w:val="center"/>
            </w:pPr>
            <w:r/>
            <w:r>
              <w:rPr>
                <w:rFonts w:ascii="Times New Roman" w:hAnsi="Times New Roman"/>
                <w:b/>
                <w:sz w:val="26"/>
              </w:rPr>
              <w:t>Đại diện bên Bán</w:t>
              <w:br/>
            </w:r>
            <w:r>
              <w:rPr>
                <w:rFonts w:ascii="Times New Roman" w:hAnsi="Times New Roman"/>
                <w:sz w:val="26"/>
              </w:rPr>
              <w:t>(Ký và đóng dấu)</w:t>
            </w:r>
          </w:p>
          <w:p/>
          <w:p/>
          <w:p/>
          <w:p/>
          <w:p/>
          <w:p>
            <w:pPr>
              <w:jc w:val="center"/>
            </w:pPr>
            <w:r>
              <w:rPr>
                <w:rFonts w:ascii="Times New Roman" w:hAnsi="Times New Roman"/>
                <w:b/>
                <w:sz w:val="26"/>
              </w:rPr>
              <w:t>Nguyễn Duy Bằng</w:t>
            </w:r>
          </w:p>
        </w:tc>
      </w:tr>
    </w:tbl>
    <w:sectPr w:rsidR="00FC693F" w:rsidRPr="0006063C" w:rsidSect="00034616">
      <w:head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anchor distT="0" distB="0" distL="0" distR="0" simplePos="0" relativeHeight="251658240" behindDoc="1" locked="0" layoutInCell="1" allowOverlap="1">
          <wp:simplePos x="0" y="0"/>
          <wp:positionH relativeFrom="page">
            <wp:posOffset>2340000</wp:posOffset>
          </wp:positionH>
          <wp:positionV relativeFrom="page">
            <wp:posOffset>3906000</wp:posOffset>
          </wp:positionV>
          <wp:extent cx="2880000" cy="2880000"/>
          <wp:effectExtent l="0" t="0" r="0" b="0"/>
          <wp:wrapNone/>
          <wp:docPr id="100" name="WatermarkLogo"/>
          <wp:cNvGraphicFramePr/>
          <a:graphic xmlns:a="http://schemas.openxmlformats.org/drawingml/2006/main" xmlns:pic="http://schemas.openxmlformats.org/drawingml/2006/picture">
            <a:graphicData uri="http://schemas.openxmlformats.org/drawingml/2006/picture">
              <pic:pic>
                <pic:nvPicPr>
                  <pic:cNvPr id="0" name="logo.png"/>
                  <pic:cNvPicPr/>
                </pic:nvPicPr>
                <pic:blipFill>
                  <a:blip r:embed="rId1">
                    <a:alphaModFix amt="25000"/>
                  </a:blip>
                  <a:stretch>
                    <a:fillRect/>
                  </a:stretch>
                </pic:blipFill>
                <pic:spPr>
                  <a:xfrm>
                    <a:off x="0" y="0"/>
                    <a:ext cx="2880000" cy="2880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