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差旅管理细则</w:t>
      </w:r>
    </w:p>
    <w:p>
      <w:r>
        <w:t>第一条 员工因公出差，应事先填具出差申请单，经部门负责人核准后方可出行。</w:t>
      </w:r>
    </w:p>
    <w:p>
      <w:r>
        <w:t>第二条 差旅费用包括城市间交通费、住宿费、市内交通费及出差补贴。</w:t>
      </w:r>
    </w:p>
    <w:p>
      <w:r>
        <w:t>第三条 出差结束后，应于十个工作日内办理报销手续，并将票据附于报销单后。</w:t>
      </w:r>
    </w:p>
    <w:p>
      <w:r>
        <w:t>第四条 未按规定办理报销手续的，财务部有权暂缓受理。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